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B16277" w14:textId="77777777" w:rsidR="00264117" w:rsidRDefault="00264117" w:rsidP="004F5FB8">
      <w:pPr>
        <w:jc w:val="center"/>
        <w:rPr>
          <w:rFonts w:eastAsiaTheme="majorEastAsia" w:cstheme="minorHAnsi"/>
          <w:b/>
          <w:bCs/>
          <w:caps/>
          <w:color w:val="2F5496" w:themeColor="accent1" w:themeShade="BF"/>
          <w:lang w:val="en-US"/>
        </w:rPr>
      </w:pPr>
    </w:p>
    <w:p w14:paraId="039CEC79" w14:textId="77777777" w:rsidR="00264117" w:rsidRPr="00C21433" w:rsidRDefault="00264117" w:rsidP="00264117">
      <w:pPr>
        <w:jc w:val="both"/>
        <w:rPr>
          <w:rFonts w:ascii="Arial" w:hAnsi="Arial" w:cs="Arial"/>
          <w:b/>
        </w:rPr>
      </w:pPr>
    </w:p>
    <w:p w14:paraId="362880BA" w14:textId="77777777" w:rsidR="00264117" w:rsidRPr="00C21433" w:rsidRDefault="00264117" w:rsidP="00264117">
      <w:pPr>
        <w:jc w:val="both"/>
        <w:rPr>
          <w:rFonts w:ascii="Arial" w:hAnsi="Arial" w:cs="Arial"/>
          <w:b/>
        </w:rPr>
      </w:pPr>
    </w:p>
    <w:p w14:paraId="4ADF1DD6" w14:textId="77777777" w:rsidR="00264117" w:rsidRPr="00C21433" w:rsidRDefault="00264117" w:rsidP="00264117">
      <w:pPr>
        <w:jc w:val="both"/>
        <w:rPr>
          <w:rFonts w:ascii="Arial" w:hAnsi="Arial" w:cs="Arial"/>
          <w:b/>
        </w:rPr>
      </w:pPr>
    </w:p>
    <w:p w14:paraId="6C887268" w14:textId="77777777" w:rsidR="00264117" w:rsidRPr="00C21433" w:rsidRDefault="00264117" w:rsidP="00264117">
      <w:pPr>
        <w:jc w:val="both"/>
        <w:rPr>
          <w:rFonts w:ascii="Arial" w:hAnsi="Arial" w:cs="Arial"/>
          <w:b/>
        </w:rPr>
      </w:pPr>
      <w:r>
        <w:rPr>
          <w:noProof/>
        </w:rPr>
        <w:drawing>
          <wp:anchor distT="0" distB="0" distL="114300" distR="114300" simplePos="0" relativeHeight="251660288" behindDoc="0" locked="0" layoutInCell="1" allowOverlap="1" wp14:anchorId="623793EB" wp14:editId="09327D3C">
            <wp:simplePos x="0" y="0"/>
            <wp:positionH relativeFrom="column">
              <wp:posOffset>3239770</wp:posOffset>
            </wp:positionH>
            <wp:positionV relativeFrom="paragraph">
              <wp:posOffset>138430</wp:posOffset>
            </wp:positionV>
            <wp:extent cx="1983740" cy="1133475"/>
            <wp:effectExtent l="0" t="0" r="0" b="9525"/>
            <wp:wrapSquare wrapText="bothSides"/>
            <wp:docPr id="45" name="Picture 45" descr="WB-WBG-vertical-RGB-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3712247" name="Picture 1" descr="WB-WBG-vertical-RGB-web"/>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983740"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1433">
        <w:rPr>
          <w:rFonts w:ascii="Arial" w:hAnsi="Arial" w:cs="Arial"/>
          <w:noProof/>
          <w:color w:val="008000"/>
        </w:rPr>
        <w:drawing>
          <wp:anchor distT="0" distB="0" distL="114300" distR="114300" simplePos="0" relativeHeight="251659264" behindDoc="0" locked="0" layoutInCell="1" allowOverlap="1" wp14:anchorId="70FB189F" wp14:editId="6BEC83F2">
            <wp:simplePos x="0" y="0"/>
            <wp:positionH relativeFrom="margin">
              <wp:posOffset>558800</wp:posOffset>
            </wp:positionH>
            <wp:positionV relativeFrom="paragraph">
              <wp:posOffset>65405</wp:posOffset>
            </wp:positionV>
            <wp:extent cx="1304925" cy="1304925"/>
            <wp:effectExtent l="0" t="0" r="9525" b="9525"/>
            <wp:wrapNone/>
            <wp:docPr id="3" name="Picture 3" descr="come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esa-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99ED8D" w14:textId="77777777" w:rsidR="00264117" w:rsidRPr="00C21433" w:rsidRDefault="00264117" w:rsidP="00264117">
      <w:pPr>
        <w:pStyle w:val="BodyText"/>
        <w:jc w:val="center"/>
        <w:rPr>
          <w:rFonts w:ascii="Arial" w:hAnsi="Arial" w:cs="Arial"/>
          <w:snapToGrid w:val="0"/>
          <w:color w:val="0000FF"/>
          <w:sz w:val="22"/>
          <w:szCs w:val="22"/>
          <w:lang w:val="en-GB"/>
        </w:rPr>
      </w:pPr>
    </w:p>
    <w:p w14:paraId="313B181C" w14:textId="77777777" w:rsidR="00264117" w:rsidRPr="00E714F6" w:rsidRDefault="00264117" w:rsidP="00264117">
      <w:pPr>
        <w:pStyle w:val="BodyText"/>
        <w:jc w:val="left"/>
        <w:rPr>
          <w:rFonts w:ascii="Arial" w:hAnsi="Arial" w:cs="Arial"/>
          <w:b/>
          <w:bCs/>
          <w:snapToGrid w:val="0"/>
          <w:sz w:val="22"/>
          <w:szCs w:val="22"/>
          <w:lang w:val="en-GB"/>
        </w:rPr>
      </w:pPr>
      <w:r>
        <w:rPr>
          <w:rFonts w:ascii="Arial" w:hAnsi="Arial" w:cs="Arial"/>
          <w:snapToGrid w:val="0"/>
          <w:color w:val="0000FF"/>
          <w:sz w:val="22"/>
          <w:szCs w:val="22"/>
          <w:lang w:val="en-GB"/>
        </w:rPr>
        <w:br w:type="textWrapping" w:clear="all"/>
      </w:r>
      <w:r w:rsidRPr="00E714F6">
        <w:rPr>
          <w:rFonts w:ascii="Arial" w:hAnsi="Arial" w:cs="Arial"/>
          <w:b/>
          <w:bCs/>
          <w:snapToGrid w:val="0"/>
          <w:sz w:val="22"/>
          <w:szCs w:val="22"/>
          <w:lang w:val="en-GB"/>
        </w:rPr>
        <w:t>--------------------------------------------------------------------------------------------------------------------------</w:t>
      </w:r>
    </w:p>
    <w:p w14:paraId="4318B480" w14:textId="77777777" w:rsidR="00264117" w:rsidRPr="00BC1232" w:rsidRDefault="00264117" w:rsidP="00264117">
      <w:pPr>
        <w:pStyle w:val="BodyText"/>
        <w:jc w:val="right"/>
        <w:rPr>
          <w:rFonts w:ascii="Arial" w:hAnsi="Arial" w:cs="Arial"/>
          <w:b/>
          <w:bCs/>
          <w:snapToGrid w:val="0"/>
          <w:color w:val="0000FF"/>
          <w:sz w:val="24"/>
          <w:szCs w:val="24"/>
          <w:lang w:val="en-GB"/>
        </w:rPr>
      </w:pPr>
    </w:p>
    <w:p w14:paraId="25D17389" w14:textId="77777777" w:rsidR="00264117" w:rsidRPr="00BC1232" w:rsidRDefault="00264117" w:rsidP="00264117">
      <w:pPr>
        <w:pStyle w:val="BodyText"/>
        <w:rPr>
          <w:rFonts w:ascii="Arial" w:hAnsi="Arial" w:cs="Arial"/>
          <w:b/>
          <w:snapToGrid w:val="0"/>
          <w:sz w:val="24"/>
          <w:szCs w:val="24"/>
          <w:lang w:val="en-GB"/>
        </w:rPr>
      </w:pPr>
    </w:p>
    <w:p w14:paraId="6F4A0ADC" w14:textId="77777777" w:rsidR="00264117" w:rsidRPr="00BC1232" w:rsidRDefault="00264117" w:rsidP="00264117">
      <w:pPr>
        <w:pStyle w:val="BodyText"/>
        <w:rPr>
          <w:rFonts w:ascii="Arial" w:hAnsi="Arial" w:cs="Arial"/>
          <w:b/>
          <w:snapToGrid w:val="0"/>
          <w:sz w:val="24"/>
          <w:szCs w:val="24"/>
          <w:lang w:val="en-GB"/>
        </w:rPr>
      </w:pPr>
    </w:p>
    <w:p w14:paraId="068F8DB1" w14:textId="77777777" w:rsidR="00264117" w:rsidRPr="00BC1232" w:rsidRDefault="00264117" w:rsidP="00264117">
      <w:pPr>
        <w:pStyle w:val="BodyText"/>
        <w:jc w:val="center"/>
        <w:rPr>
          <w:rFonts w:ascii="Arial" w:hAnsi="Arial" w:cs="Arial"/>
          <w:b/>
          <w:snapToGrid w:val="0"/>
          <w:sz w:val="24"/>
          <w:szCs w:val="24"/>
          <w:lang w:val="en-GB"/>
        </w:rPr>
      </w:pPr>
      <w:r w:rsidRPr="00BC1232">
        <w:rPr>
          <w:rFonts w:ascii="Arial" w:hAnsi="Arial" w:cs="Arial"/>
          <w:b/>
          <w:snapToGrid w:val="0"/>
          <w:sz w:val="24"/>
          <w:szCs w:val="24"/>
          <w:lang w:val="en-GB"/>
        </w:rPr>
        <w:t xml:space="preserve">ACCELERATING SUSTAINABLE AND CLEAN ENERGY ACCESS TRANSFORMATION </w:t>
      </w:r>
    </w:p>
    <w:p w14:paraId="4C3B64D7" w14:textId="77777777" w:rsidR="00264117" w:rsidRPr="00BC1232" w:rsidRDefault="00264117" w:rsidP="00264117">
      <w:pPr>
        <w:pStyle w:val="BodyText"/>
        <w:jc w:val="center"/>
        <w:rPr>
          <w:rFonts w:ascii="Arial" w:hAnsi="Arial" w:cs="Arial"/>
          <w:b/>
          <w:snapToGrid w:val="0"/>
          <w:sz w:val="24"/>
          <w:szCs w:val="24"/>
          <w:lang w:val="en-GB"/>
        </w:rPr>
      </w:pPr>
      <w:r w:rsidRPr="00BC1232">
        <w:rPr>
          <w:rFonts w:ascii="Arial" w:hAnsi="Arial" w:cs="Arial"/>
          <w:b/>
          <w:snapToGrid w:val="0"/>
          <w:sz w:val="24"/>
          <w:szCs w:val="24"/>
          <w:lang w:val="en-GB"/>
        </w:rPr>
        <w:t>(ASCENT)</w:t>
      </w:r>
    </w:p>
    <w:p w14:paraId="1D986606" w14:textId="77777777" w:rsidR="00264117" w:rsidRPr="00BC1232" w:rsidRDefault="00264117" w:rsidP="00264117">
      <w:pPr>
        <w:pStyle w:val="BodyText"/>
        <w:jc w:val="center"/>
        <w:rPr>
          <w:rFonts w:ascii="Arial" w:hAnsi="Arial" w:cs="Arial"/>
          <w:b/>
          <w:snapToGrid w:val="0"/>
          <w:sz w:val="24"/>
          <w:szCs w:val="24"/>
          <w:lang w:val="en-GB"/>
        </w:rPr>
      </w:pPr>
    </w:p>
    <w:p w14:paraId="1291ABAF" w14:textId="62097F0C" w:rsidR="00A95B94" w:rsidRPr="00A95B94" w:rsidRDefault="000A2686" w:rsidP="00A95B94">
      <w:pPr>
        <w:pStyle w:val="BodyText"/>
        <w:jc w:val="center"/>
        <w:rPr>
          <w:rFonts w:ascii="Arial" w:hAnsi="Arial" w:cs="Arial"/>
          <w:b/>
          <w:sz w:val="22"/>
          <w:szCs w:val="22"/>
          <w:lang w:val="en-US"/>
        </w:rPr>
      </w:pPr>
      <w:r w:rsidRPr="00A95B94">
        <w:rPr>
          <w:rFonts w:ascii="Arial" w:hAnsi="Arial" w:cs="Arial"/>
          <w:b/>
          <w:sz w:val="22"/>
          <w:szCs w:val="22"/>
          <w:lang w:val="en-US"/>
        </w:rPr>
        <w:t>DRAFT TERMS OF REFERENCE FOR</w:t>
      </w:r>
    </w:p>
    <w:p w14:paraId="4D94ABC6" w14:textId="6F57751D" w:rsidR="00264117" w:rsidRDefault="000A2686" w:rsidP="00A95B94">
      <w:pPr>
        <w:pStyle w:val="BodyText"/>
        <w:jc w:val="center"/>
        <w:rPr>
          <w:rFonts w:ascii="Arial" w:hAnsi="Arial" w:cs="Arial"/>
          <w:b/>
          <w:sz w:val="22"/>
          <w:szCs w:val="22"/>
          <w:lang w:val="en-US"/>
        </w:rPr>
      </w:pPr>
      <w:r w:rsidRPr="00A95B94">
        <w:rPr>
          <w:rFonts w:ascii="Arial" w:hAnsi="Arial" w:cs="Arial"/>
          <w:b/>
          <w:sz w:val="22"/>
          <w:szCs w:val="22"/>
          <w:lang w:val="en-US"/>
        </w:rPr>
        <w:t>CONSULTANCY SERVICES FOR THE MANAGEMENT OF THE PROJECT PREPARATION FACILITY (PPF MANAGER)</w:t>
      </w:r>
    </w:p>
    <w:p w14:paraId="5A4B8B02" w14:textId="77777777" w:rsidR="000A2686" w:rsidRPr="0038792D" w:rsidRDefault="000A2686" w:rsidP="00A95B94">
      <w:pPr>
        <w:pStyle w:val="BodyText"/>
        <w:jc w:val="center"/>
        <w:rPr>
          <w:rFonts w:ascii="Arial" w:hAnsi="Arial" w:cs="Arial"/>
          <w:b/>
          <w:snapToGrid w:val="0"/>
          <w:sz w:val="22"/>
          <w:szCs w:val="22"/>
          <w:lang w:val="en-GB"/>
        </w:rPr>
      </w:pPr>
    </w:p>
    <w:p w14:paraId="5B8E99AE" w14:textId="0CE0F263" w:rsidR="00264117" w:rsidRPr="0038792D" w:rsidRDefault="00264117" w:rsidP="00264117">
      <w:pPr>
        <w:pStyle w:val="BodyText"/>
        <w:jc w:val="center"/>
        <w:rPr>
          <w:rFonts w:ascii="Arial" w:hAnsi="Arial" w:cs="Arial"/>
          <w:b/>
          <w:snapToGrid w:val="0"/>
          <w:sz w:val="22"/>
          <w:szCs w:val="22"/>
          <w:lang w:val="en-GB"/>
        </w:rPr>
      </w:pPr>
      <w:r w:rsidRPr="0038792D">
        <w:rPr>
          <w:rFonts w:ascii="Arial" w:hAnsi="Arial" w:cs="Arial"/>
          <w:b/>
          <w:snapToGrid w:val="0"/>
          <w:sz w:val="22"/>
          <w:szCs w:val="22"/>
          <w:lang w:val="en-GB"/>
        </w:rPr>
        <w:t>2025</w:t>
      </w:r>
    </w:p>
    <w:p w14:paraId="08AA7E62" w14:textId="77777777" w:rsidR="00264117" w:rsidRPr="00BC1232" w:rsidRDefault="00264117" w:rsidP="00264117">
      <w:pPr>
        <w:pStyle w:val="BodyText"/>
        <w:jc w:val="center"/>
        <w:rPr>
          <w:rFonts w:ascii="Arial" w:hAnsi="Arial" w:cs="Arial"/>
          <w:b/>
          <w:snapToGrid w:val="0"/>
          <w:sz w:val="24"/>
          <w:szCs w:val="24"/>
          <w:lang w:val="en-GB"/>
        </w:rPr>
      </w:pPr>
    </w:p>
    <w:p w14:paraId="0FBF24BC" w14:textId="77777777" w:rsidR="00264117" w:rsidRPr="00D83EDC" w:rsidRDefault="00264117" w:rsidP="00264117">
      <w:pPr>
        <w:pStyle w:val="BodyText"/>
        <w:rPr>
          <w:rFonts w:ascii="Arial" w:hAnsi="Arial" w:cs="Arial"/>
          <w:b/>
          <w:snapToGrid w:val="0"/>
          <w:sz w:val="22"/>
          <w:szCs w:val="22"/>
          <w:lang w:val="en-GB"/>
        </w:rPr>
      </w:pPr>
    </w:p>
    <w:p w14:paraId="32F0FD71" w14:textId="77777777" w:rsidR="00264117" w:rsidRPr="00D83EDC" w:rsidRDefault="00264117" w:rsidP="00264117">
      <w:pPr>
        <w:pStyle w:val="BodyText"/>
        <w:rPr>
          <w:rFonts w:ascii="Arial" w:hAnsi="Arial" w:cs="Arial"/>
          <w:b/>
          <w:snapToGrid w:val="0"/>
          <w:sz w:val="22"/>
          <w:szCs w:val="22"/>
          <w:lang w:val="en-GB"/>
        </w:rPr>
      </w:pPr>
    </w:p>
    <w:p w14:paraId="24CD66FF" w14:textId="77777777" w:rsidR="00264117" w:rsidRDefault="00264117" w:rsidP="004F5FB8">
      <w:pPr>
        <w:jc w:val="center"/>
        <w:rPr>
          <w:rFonts w:eastAsiaTheme="majorEastAsia" w:cstheme="minorHAnsi"/>
          <w:b/>
          <w:bCs/>
          <w:caps/>
          <w:color w:val="2F5496" w:themeColor="accent1" w:themeShade="BF"/>
          <w:lang w:val="en-US"/>
        </w:rPr>
      </w:pPr>
    </w:p>
    <w:p w14:paraId="324A62E5" w14:textId="77777777" w:rsidR="00264117" w:rsidRDefault="00264117" w:rsidP="004F5FB8">
      <w:pPr>
        <w:jc w:val="center"/>
        <w:rPr>
          <w:rFonts w:eastAsiaTheme="majorEastAsia" w:cstheme="minorHAnsi"/>
          <w:b/>
          <w:bCs/>
          <w:caps/>
          <w:color w:val="2F5496" w:themeColor="accent1" w:themeShade="BF"/>
          <w:lang w:val="en-US"/>
        </w:rPr>
      </w:pPr>
    </w:p>
    <w:p w14:paraId="1ED852B6" w14:textId="77777777" w:rsidR="00264117" w:rsidRDefault="00264117" w:rsidP="004F5FB8">
      <w:pPr>
        <w:jc w:val="center"/>
        <w:rPr>
          <w:rFonts w:eastAsiaTheme="majorEastAsia" w:cstheme="minorHAnsi"/>
          <w:b/>
          <w:bCs/>
          <w:caps/>
          <w:color w:val="2F5496" w:themeColor="accent1" w:themeShade="BF"/>
          <w:lang w:val="en-US"/>
        </w:rPr>
      </w:pPr>
    </w:p>
    <w:p w14:paraId="003D7FCE" w14:textId="77777777" w:rsidR="00264117" w:rsidRDefault="00264117" w:rsidP="004F5FB8">
      <w:pPr>
        <w:jc w:val="center"/>
        <w:rPr>
          <w:rFonts w:eastAsiaTheme="majorEastAsia" w:cstheme="minorHAnsi"/>
          <w:b/>
          <w:bCs/>
          <w:caps/>
          <w:color w:val="2F5496" w:themeColor="accent1" w:themeShade="BF"/>
          <w:lang w:val="en-US"/>
        </w:rPr>
      </w:pPr>
    </w:p>
    <w:p w14:paraId="54EDF2DD" w14:textId="77777777" w:rsidR="00264117" w:rsidRDefault="00264117" w:rsidP="004F5FB8">
      <w:pPr>
        <w:jc w:val="center"/>
        <w:rPr>
          <w:rFonts w:eastAsiaTheme="majorEastAsia" w:cstheme="minorHAnsi"/>
          <w:b/>
          <w:bCs/>
          <w:caps/>
          <w:color w:val="2F5496" w:themeColor="accent1" w:themeShade="BF"/>
          <w:lang w:val="en-US"/>
        </w:rPr>
      </w:pPr>
    </w:p>
    <w:p w14:paraId="13EF286D" w14:textId="77777777" w:rsidR="00264117" w:rsidRDefault="00264117" w:rsidP="004F5FB8">
      <w:pPr>
        <w:jc w:val="center"/>
        <w:rPr>
          <w:rFonts w:eastAsiaTheme="majorEastAsia" w:cstheme="minorHAnsi"/>
          <w:b/>
          <w:bCs/>
          <w:caps/>
          <w:color w:val="2F5496" w:themeColor="accent1" w:themeShade="BF"/>
          <w:lang w:val="en-US"/>
        </w:rPr>
      </w:pPr>
    </w:p>
    <w:p w14:paraId="6019481C" w14:textId="77777777" w:rsidR="00264117" w:rsidRDefault="00264117" w:rsidP="004F5FB8">
      <w:pPr>
        <w:jc w:val="center"/>
        <w:rPr>
          <w:rFonts w:eastAsiaTheme="majorEastAsia" w:cstheme="minorHAnsi"/>
          <w:b/>
          <w:bCs/>
          <w:caps/>
          <w:color w:val="2F5496" w:themeColor="accent1" w:themeShade="BF"/>
          <w:lang w:val="en-US"/>
        </w:rPr>
      </w:pPr>
    </w:p>
    <w:p w14:paraId="0882220E" w14:textId="77777777" w:rsidR="00264117" w:rsidRDefault="00264117" w:rsidP="004F5FB8">
      <w:pPr>
        <w:jc w:val="center"/>
        <w:rPr>
          <w:rFonts w:eastAsiaTheme="majorEastAsia" w:cstheme="minorHAnsi"/>
          <w:b/>
          <w:bCs/>
          <w:caps/>
          <w:color w:val="2F5496" w:themeColor="accent1" w:themeShade="BF"/>
          <w:lang w:val="en-US"/>
        </w:rPr>
      </w:pPr>
    </w:p>
    <w:p w14:paraId="047D0182" w14:textId="77777777" w:rsidR="00264117" w:rsidRDefault="00264117" w:rsidP="004F5FB8">
      <w:pPr>
        <w:jc w:val="center"/>
        <w:rPr>
          <w:rFonts w:eastAsiaTheme="majorEastAsia" w:cstheme="minorHAnsi"/>
          <w:b/>
          <w:bCs/>
          <w:caps/>
          <w:color w:val="2F5496" w:themeColor="accent1" w:themeShade="BF"/>
          <w:lang w:val="en-US"/>
        </w:rPr>
      </w:pPr>
    </w:p>
    <w:p w14:paraId="08830A28" w14:textId="5F21B6A9" w:rsidR="00C5293D" w:rsidRPr="002508DF" w:rsidRDefault="004F5FB8" w:rsidP="00C5293D">
      <w:pPr>
        <w:pStyle w:val="Heading1"/>
        <w:rPr>
          <w:lang w:val="en-US"/>
        </w:rPr>
      </w:pPr>
      <w:r>
        <w:rPr>
          <w:lang w:val="en-US"/>
        </w:rPr>
        <w:lastRenderedPageBreak/>
        <w:t>Background</w:t>
      </w:r>
    </w:p>
    <w:p w14:paraId="07C4568B" w14:textId="7C6B6D32" w:rsidR="00AF7CD3" w:rsidRDefault="00F263A5" w:rsidP="00C5293D">
      <w:pPr>
        <w:rPr>
          <w:lang w:val="en-US"/>
        </w:rPr>
      </w:pPr>
      <w:r w:rsidRPr="00F263A5">
        <w:rPr>
          <w:b/>
          <w:bCs/>
          <w:lang w:val="en-US"/>
        </w:rPr>
        <w:t xml:space="preserve">The Common Market for Eastern and Southern Africa (COMESA) </w:t>
      </w:r>
      <w:r w:rsidRPr="00F263A5">
        <w:rPr>
          <w:lang w:val="en-US"/>
        </w:rPr>
        <w:t>was established in 1994 as “as an organization of free independent sovereign states that have agreed to cooperate in developing their natural and human resources for the good of all their people.” COMESA sums up its current strategy as “economic prosperity through regional integration.” Recognizing the critical importance of sustainable, reliable, and affordable energy for competitiveness and greater economic integration of countries in the Eastern and Southern Africa region, COMESA has been increasing its involvement in the energy sector. Through its energy program, whose main thrust is to promote regional cooperation in energy development, trade, and capacity building, COMESA supports its member countries in (i) harmonization of energy policy and regulatory frameworks, (ii) regionwide energy planning, and (ii</w:t>
      </w:r>
      <w:r w:rsidR="00B673E8">
        <w:rPr>
          <w:lang w:val="en-US"/>
        </w:rPr>
        <w:t>i</w:t>
      </w:r>
      <w:r w:rsidRPr="00F263A5">
        <w:rPr>
          <w:lang w:val="en-US"/>
        </w:rPr>
        <w:t>) facilitation of trade in energy services through regional energy trade and development of a wider distributed renewable energy (DRE) market.</w:t>
      </w:r>
    </w:p>
    <w:p w14:paraId="4E9829B9" w14:textId="286D8552" w:rsidR="00F263A5" w:rsidRDefault="00AF7CD3" w:rsidP="00C5293D">
      <w:pPr>
        <w:rPr>
          <w:lang w:val="en-US"/>
        </w:rPr>
      </w:pPr>
      <w:r w:rsidRPr="00AF7CD3">
        <w:rPr>
          <w:b/>
          <w:bCs/>
          <w:lang w:val="en-US"/>
        </w:rPr>
        <w:t xml:space="preserve">The </w:t>
      </w:r>
      <w:r w:rsidR="00F263A5" w:rsidRPr="00AF7CD3">
        <w:rPr>
          <w:b/>
          <w:bCs/>
          <w:lang w:val="en-US"/>
        </w:rPr>
        <w:t>Accelerating Sustainable and Clean Energy Access Transformation (ASCENT) Program</w:t>
      </w:r>
      <w:r>
        <w:rPr>
          <w:lang w:val="en-US"/>
        </w:rPr>
        <w:t xml:space="preserve">, funded by the World Bank, </w:t>
      </w:r>
      <w:r w:rsidR="00F263A5" w:rsidRPr="00F263A5">
        <w:rPr>
          <w:lang w:val="en-US"/>
        </w:rPr>
        <w:t xml:space="preserve">is an ambitious leap toward universal energy access and the clean energy transition in the Eastern and Southern Africa region. ASCENT presents a programmatic framework for the World Bank to support acceleration of access to electricity in </w:t>
      </w:r>
      <w:r>
        <w:rPr>
          <w:lang w:val="en-US"/>
        </w:rPr>
        <w:t>the region</w:t>
      </w:r>
      <w:r w:rsidR="00F263A5" w:rsidRPr="00F263A5">
        <w:rPr>
          <w:lang w:val="en-US"/>
        </w:rPr>
        <w:t>, which utilizes the Multiphase Programmatic Approach (MPA) with a proposed IDA financing envelope of US$5 billion. The first wave of the MPA phases</w:t>
      </w:r>
      <w:r>
        <w:rPr>
          <w:lang w:val="en-US"/>
        </w:rPr>
        <w:t xml:space="preserve"> </w:t>
      </w:r>
      <w:r w:rsidR="00F263A5" w:rsidRPr="00F263A5">
        <w:rPr>
          <w:lang w:val="en-US"/>
        </w:rPr>
        <w:t xml:space="preserve">includes </w:t>
      </w:r>
      <w:r>
        <w:rPr>
          <w:lang w:val="en-US"/>
        </w:rPr>
        <w:t xml:space="preserve">the </w:t>
      </w:r>
      <w:r w:rsidR="00F263A5" w:rsidRPr="00F263A5">
        <w:rPr>
          <w:lang w:val="en-US"/>
        </w:rPr>
        <w:t xml:space="preserve">ASCENT COMESA Regional Acceleration Platform, P180547), </w:t>
      </w:r>
      <w:r>
        <w:rPr>
          <w:lang w:val="en-US"/>
        </w:rPr>
        <w:t>with a financing allocation of $50 million</w:t>
      </w:r>
      <w:r w:rsidR="00CB4BB2">
        <w:rPr>
          <w:lang w:val="en-US"/>
        </w:rPr>
        <w:t xml:space="preserve"> and a 6-year implementation period from 2025 to 2030.</w:t>
      </w:r>
    </w:p>
    <w:p w14:paraId="1AACB2BE" w14:textId="5621390A" w:rsidR="00AF7CD3" w:rsidRDefault="00AF7CD3" w:rsidP="00C5293D">
      <w:pPr>
        <w:rPr>
          <w:lang w:val="en-US"/>
        </w:rPr>
      </w:pPr>
      <w:r w:rsidRPr="00AF7CD3">
        <w:rPr>
          <w:b/>
          <w:bCs/>
          <w:lang w:val="en-US"/>
        </w:rPr>
        <w:t>The Regional Energy Access Acceleration Platform</w:t>
      </w:r>
      <w:r w:rsidRPr="00AF7CD3">
        <w:rPr>
          <w:lang w:val="en-US"/>
        </w:rPr>
        <w:t xml:space="preserve"> will support all countries participating in the ASCENT MPA. Managed by the COMESA Secretariat, the Platform will contribute to implementation and monitoring of the overall ASCENT program. The envisaged components under the Platform are described in </w:t>
      </w:r>
      <w:r>
        <w:rPr>
          <w:lang w:val="en-US"/>
        </w:rPr>
        <w:fldChar w:fldCharType="begin"/>
      </w:r>
      <w:r>
        <w:rPr>
          <w:lang w:val="en-US"/>
        </w:rPr>
        <w:instrText xml:space="preserve"> REF _Ref182905904 \h </w:instrText>
      </w:r>
      <w:r>
        <w:rPr>
          <w:lang w:val="en-US"/>
        </w:rPr>
      </w:r>
      <w:r>
        <w:rPr>
          <w:lang w:val="en-US"/>
        </w:rPr>
        <w:fldChar w:fldCharType="separate"/>
      </w:r>
      <w:r>
        <w:t xml:space="preserve">Figure </w:t>
      </w:r>
      <w:r>
        <w:rPr>
          <w:noProof/>
        </w:rPr>
        <w:t>1</w:t>
      </w:r>
      <w:r>
        <w:rPr>
          <w:lang w:val="en-US"/>
        </w:rPr>
        <w:fldChar w:fldCharType="end"/>
      </w:r>
      <w:r w:rsidR="003053C4">
        <w:rPr>
          <w:lang w:val="en-US"/>
        </w:rPr>
        <w:t>.</w:t>
      </w:r>
    </w:p>
    <w:p w14:paraId="4AD3340C" w14:textId="6566B19B" w:rsidR="00AF7CD3" w:rsidRDefault="00AF7CD3" w:rsidP="00AF7CD3">
      <w:pPr>
        <w:pStyle w:val="Caption"/>
        <w:rPr>
          <w:lang w:val="en-US"/>
        </w:rPr>
      </w:pPr>
      <w:bookmarkStart w:id="0" w:name="_Ref182905904"/>
      <w:r>
        <w:t xml:space="preserve">Figure </w:t>
      </w:r>
      <w:fldSimple w:instr=" SEQ Figure \* ARABIC ">
        <w:r>
          <w:rPr>
            <w:noProof/>
          </w:rPr>
          <w:t>1</w:t>
        </w:r>
      </w:fldSimple>
      <w:bookmarkEnd w:id="0"/>
      <w:r>
        <w:t xml:space="preserve">: </w:t>
      </w:r>
      <w:r w:rsidRPr="00AF7CD3">
        <w:t>Overview of the Regional Energy Access Acceleration Platform under the ASCENT MPA</w:t>
      </w:r>
    </w:p>
    <w:p w14:paraId="57E120A2" w14:textId="67B44F00" w:rsidR="00AF7CD3" w:rsidRDefault="00AF7CD3" w:rsidP="00C5293D">
      <w:pPr>
        <w:rPr>
          <w:lang w:val="en-US"/>
        </w:rPr>
      </w:pPr>
      <w:r w:rsidRPr="00AF7CD3">
        <w:rPr>
          <w:noProof/>
          <w:lang w:val="en-US"/>
        </w:rPr>
        <w:drawing>
          <wp:inline distT="0" distB="0" distL="0" distR="0" wp14:anchorId="0B47995B" wp14:editId="4938A7E0">
            <wp:extent cx="5760720" cy="2427605"/>
            <wp:effectExtent l="0" t="0" r="0" b="0"/>
            <wp:docPr id="1714928860" name="Picture 1" descr="A diagram of a pro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928860" name="Picture 1" descr="A diagram of a project&#10;&#10;Description automatically generated"/>
                    <pic:cNvPicPr/>
                  </pic:nvPicPr>
                  <pic:blipFill>
                    <a:blip r:embed="rId13"/>
                    <a:stretch>
                      <a:fillRect/>
                    </a:stretch>
                  </pic:blipFill>
                  <pic:spPr>
                    <a:xfrm>
                      <a:off x="0" y="0"/>
                      <a:ext cx="5760720" cy="2427605"/>
                    </a:xfrm>
                    <a:prstGeom prst="rect">
                      <a:avLst/>
                    </a:prstGeom>
                  </pic:spPr>
                </pic:pic>
              </a:graphicData>
            </a:graphic>
          </wp:inline>
        </w:drawing>
      </w:r>
    </w:p>
    <w:p w14:paraId="41FBAF05" w14:textId="1D039677" w:rsidR="00AF7CD3" w:rsidRPr="00AF7CD3" w:rsidRDefault="00AF7CD3" w:rsidP="00AF7CD3">
      <w:pPr>
        <w:rPr>
          <w:lang w:val="en-US"/>
        </w:rPr>
      </w:pPr>
      <w:r w:rsidRPr="00AF7CD3">
        <w:rPr>
          <w:b/>
          <w:bCs/>
          <w:lang w:val="en-US"/>
        </w:rPr>
        <w:t>The Project Preparation Facility (PPF)</w:t>
      </w:r>
      <w:r w:rsidRPr="00AF7CD3">
        <w:rPr>
          <w:lang w:val="en-US"/>
        </w:rPr>
        <w:t>, with an initial financing allocation of $2</w:t>
      </w:r>
      <w:r w:rsidR="00041239">
        <w:rPr>
          <w:lang w:val="en-US"/>
        </w:rPr>
        <w:t>5</w:t>
      </w:r>
      <w:r w:rsidRPr="00AF7CD3">
        <w:rPr>
          <w:lang w:val="en-US"/>
        </w:rPr>
        <w:t xml:space="preserve"> million, will support governments and the private sector in developing bankable, investment-ready projects through a demand-driven approach. The activities envisaged under the PPF are as follows:</w:t>
      </w:r>
    </w:p>
    <w:p w14:paraId="6F761952" w14:textId="4255FB9B" w:rsidR="00AF7CD3" w:rsidRPr="003053C4" w:rsidRDefault="00AF7CD3" w:rsidP="003053C4">
      <w:pPr>
        <w:pStyle w:val="ListParagraph"/>
        <w:numPr>
          <w:ilvl w:val="0"/>
          <w:numId w:val="8"/>
        </w:numPr>
        <w:rPr>
          <w:lang w:val="en-US"/>
        </w:rPr>
      </w:pPr>
      <w:r w:rsidRPr="003053C4">
        <w:rPr>
          <w:b/>
          <w:bCs/>
          <w:lang w:val="en-US"/>
        </w:rPr>
        <w:t>Project development support to national agencies</w:t>
      </w:r>
      <w:r w:rsidRPr="003053C4">
        <w:rPr>
          <w:lang w:val="en-US"/>
        </w:rPr>
        <w:t xml:space="preserve">. This sub-component will provide (i) support to national agencies (e.g., energy ministries, rural electrification agencies, and public utilities) on the design and implementation of energy-access projects supporting ASCENT </w:t>
      </w:r>
      <w:r w:rsidRPr="003053C4">
        <w:rPr>
          <w:lang w:val="en-US"/>
        </w:rPr>
        <w:lastRenderedPageBreak/>
        <w:t>program objectives, per government requests and (ii) access to specific, just-in-time support for project design from a roster of experts. The sub-component will reduce the capacity constraints of governments to prepare projects to the standards required to attract financing from both public and private sectors. This will specifically include support to government agencies to build capacity on environmental and social issues related to implementing ASCENT activities.</w:t>
      </w:r>
    </w:p>
    <w:p w14:paraId="20B65C12" w14:textId="064F6E87" w:rsidR="00AF7CD3" w:rsidRPr="003053C4" w:rsidRDefault="00AF7CD3" w:rsidP="003053C4">
      <w:pPr>
        <w:pStyle w:val="ListParagraph"/>
        <w:numPr>
          <w:ilvl w:val="0"/>
          <w:numId w:val="8"/>
        </w:numPr>
        <w:rPr>
          <w:lang w:val="en-US"/>
        </w:rPr>
      </w:pPr>
      <w:r w:rsidRPr="003053C4">
        <w:rPr>
          <w:b/>
          <w:bCs/>
          <w:lang w:val="en-US"/>
        </w:rPr>
        <w:t>Cross-border solutions</w:t>
      </w:r>
      <w:r w:rsidRPr="003053C4">
        <w:rPr>
          <w:lang w:val="en-US"/>
        </w:rPr>
        <w:t>. This sub-component will identify, prioritize, and facilitate cross-border energy provision among multiple countries, spanning grid connections, on-grid renewable energy, and DRE solutions, as well as clean cooking, with the objective of accelerating energy access in border areas. Activities will include (i) identifying and prioritizing potential areas for cross-border electrification using geospatial mapping, (ii) advocacy and convening to gain support for cross-border solutions through engagement with governments and key stakeholders, (iii) advisory support to governments on negotiation and structuring of cross-border energy investments, and (iv) facilitating technical studies.</w:t>
      </w:r>
    </w:p>
    <w:p w14:paraId="7E91219D" w14:textId="539617C3" w:rsidR="00AF7CD3" w:rsidRPr="003053C4" w:rsidRDefault="00AF7CD3" w:rsidP="003053C4">
      <w:pPr>
        <w:pStyle w:val="ListParagraph"/>
        <w:numPr>
          <w:ilvl w:val="0"/>
          <w:numId w:val="8"/>
        </w:numPr>
        <w:rPr>
          <w:lang w:val="en-US"/>
        </w:rPr>
      </w:pPr>
      <w:r w:rsidRPr="003053C4">
        <w:rPr>
          <w:b/>
          <w:bCs/>
          <w:lang w:val="en-US"/>
        </w:rPr>
        <w:t>Support to private-sector DRE and clean cooking companies</w:t>
      </w:r>
      <w:r w:rsidRPr="003053C4">
        <w:rPr>
          <w:lang w:val="en-US"/>
        </w:rPr>
        <w:t xml:space="preserve">. This sub-component involves supporting the growth and bankability of private-sector DRE and clean cooking companies to attract high-quality investors. Its activities will provide (i) market intelligence on DRE and clean cooking markets to all stakeholders, including access to high-quality data through geospatial mapping and planning platforms and </w:t>
      </w:r>
      <w:proofErr w:type="gramStart"/>
      <w:r w:rsidRPr="003053C4">
        <w:rPr>
          <w:lang w:val="en-US"/>
        </w:rPr>
        <w:t>conducting</w:t>
      </w:r>
      <w:proofErr w:type="gramEnd"/>
      <w:r w:rsidRPr="003053C4">
        <w:rPr>
          <w:lang w:val="en-US"/>
        </w:rPr>
        <w:t xml:space="preserve"> market assessments on specific DRE and clean cooking technologies and (ii) business development support (covering technical, financial, economic, social, legal, regulatory, environmental and social safeguards, institutional, governance, transaction structuring and management issues). The sub-component will help build a strong pipeline of companies that will make it easier for them to attract commercial financing, including those of the International Finance Corporation (IFC) and the Regional Energy Access Financing Platform (REAF) managed by the Trade and Development Bank (TDB) under ASCENT. Support can be provided via </w:t>
      </w:r>
      <w:proofErr w:type="gramStart"/>
      <w:r w:rsidRPr="003053C4">
        <w:rPr>
          <w:lang w:val="en-US"/>
        </w:rPr>
        <w:t>provision</w:t>
      </w:r>
      <w:proofErr w:type="gramEnd"/>
      <w:r w:rsidRPr="003053C4">
        <w:rPr>
          <w:lang w:val="en-US"/>
        </w:rPr>
        <w:t xml:space="preserve"> of grants or access to technical expertise (e.g., via the roster of experts).</w:t>
      </w:r>
    </w:p>
    <w:p w14:paraId="661BE51B" w14:textId="7BF36413" w:rsidR="003053C4" w:rsidRDefault="003053C4" w:rsidP="00C5293D">
      <w:pPr>
        <w:rPr>
          <w:lang w:val="en-US"/>
        </w:rPr>
      </w:pPr>
      <w:r w:rsidRPr="00CB4BB2">
        <w:rPr>
          <w:b/>
          <w:bCs/>
          <w:lang w:val="en-US"/>
        </w:rPr>
        <w:t xml:space="preserve">The </w:t>
      </w:r>
      <w:r w:rsidR="00CB4BB2" w:rsidRPr="00CB4BB2">
        <w:rPr>
          <w:b/>
          <w:bCs/>
          <w:lang w:val="en-US"/>
        </w:rPr>
        <w:t>COMESA Secretariat is looking for the services of an experienced consulting firm to manage the implementation of the PPF</w:t>
      </w:r>
      <w:r w:rsidR="00CB4BB2">
        <w:rPr>
          <w:lang w:val="en-US"/>
        </w:rPr>
        <w:t xml:space="preserve">. These Terms of Reference describe the objectives, scope of work, implementation arrangements, and required qualifications of this assignment. </w:t>
      </w:r>
      <w:r>
        <w:rPr>
          <w:lang w:val="en-US"/>
        </w:rPr>
        <w:t xml:space="preserve"> </w:t>
      </w:r>
    </w:p>
    <w:p w14:paraId="040D30BA" w14:textId="2EF59667" w:rsidR="004F5FB8" w:rsidRDefault="004F5FB8" w:rsidP="00C5293D">
      <w:pPr>
        <w:pStyle w:val="Heading1"/>
        <w:rPr>
          <w:lang w:val="en-US"/>
        </w:rPr>
      </w:pPr>
      <w:r>
        <w:rPr>
          <w:lang w:val="en-US"/>
        </w:rPr>
        <w:t>Objectives</w:t>
      </w:r>
    </w:p>
    <w:p w14:paraId="3D341B56" w14:textId="17FB10FA" w:rsidR="00B673E8" w:rsidRDefault="00CB4BB2" w:rsidP="002901E4">
      <w:pPr>
        <w:rPr>
          <w:lang w:val="en-US"/>
        </w:rPr>
      </w:pPr>
      <w:r w:rsidRPr="01752B5A">
        <w:rPr>
          <w:b/>
          <w:bCs/>
          <w:lang w:val="en-US"/>
        </w:rPr>
        <w:t xml:space="preserve">The COMESA Secretariat </w:t>
      </w:r>
      <w:r w:rsidR="0012366C" w:rsidRPr="01752B5A">
        <w:rPr>
          <w:b/>
          <w:bCs/>
          <w:lang w:val="en-US"/>
        </w:rPr>
        <w:t>seeks to contract a firm or consortium (the “PPF manager”) to manage the operations of the Project Preparation Facility</w:t>
      </w:r>
      <w:r w:rsidR="0012366C" w:rsidRPr="01752B5A">
        <w:rPr>
          <w:lang w:val="en-US"/>
        </w:rPr>
        <w:t>, which consist in the application-based allocation of grants and specialized consulting services to DRE and clean cooking projects from the private and public sectors</w:t>
      </w:r>
      <w:r w:rsidR="00CB5187" w:rsidRPr="01752B5A">
        <w:rPr>
          <w:lang w:val="en-US"/>
        </w:rPr>
        <w:t xml:space="preserve">, as well as corresponding administrative tasks (contracting, monitoring, reporting, </w:t>
      </w:r>
      <w:proofErr w:type="spellStart"/>
      <w:r w:rsidR="00CB5187" w:rsidRPr="01752B5A">
        <w:rPr>
          <w:lang w:val="en-US"/>
        </w:rPr>
        <w:t>etc</w:t>
      </w:r>
      <w:proofErr w:type="spellEnd"/>
      <w:r w:rsidR="00CB5187" w:rsidRPr="01752B5A">
        <w:rPr>
          <w:lang w:val="en-US"/>
        </w:rPr>
        <w:t>).</w:t>
      </w:r>
      <w:r w:rsidR="002901E4" w:rsidRPr="01752B5A">
        <w:rPr>
          <w:lang w:val="en-US"/>
        </w:rPr>
        <w:t xml:space="preserve"> </w:t>
      </w:r>
      <w:r w:rsidR="00B673E8" w:rsidRPr="01752B5A">
        <w:rPr>
          <w:lang w:val="en-US"/>
        </w:rPr>
        <w:t xml:space="preserve">The PPF manager will also have an important role in the detailed design of the PPF, </w:t>
      </w:r>
      <w:r w:rsidR="005A07C8" w:rsidRPr="01752B5A">
        <w:rPr>
          <w:lang w:val="en-US"/>
        </w:rPr>
        <w:t>in</w:t>
      </w:r>
      <w:r w:rsidR="00B673E8" w:rsidRPr="01752B5A">
        <w:rPr>
          <w:lang w:val="en-US"/>
        </w:rPr>
        <w:t xml:space="preserve"> the </w:t>
      </w:r>
      <w:r w:rsidR="005A07C8" w:rsidRPr="01752B5A">
        <w:rPr>
          <w:lang w:val="en-US"/>
        </w:rPr>
        <w:t>adapting</w:t>
      </w:r>
      <w:r w:rsidR="00B532E5">
        <w:rPr>
          <w:lang w:val="en-US"/>
        </w:rPr>
        <w:t xml:space="preserve"> </w:t>
      </w:r>
      <w:r w:rsidR="00142F6B">
        <w:rPr>
          <w:lang w:val="en-US"/>
        </w:rPr>
        <w:t>of</w:t>
      </w:r>
      <w:r w:rsidR="5BCC8D7D" w:rsidRPr="01752B5A">
        <w:rPr>
          <w:lang w:val="en-US"/>
        </w:rPr>
        <w:t xml:space="preserve"> the</w:t>
      </w:r>
      <w:r w:rsidR="00B673E8" w:rsidRPr="01752B5A">
        <w:rPr>
          <w:lang w:val="en-US"/>
        </w:rPr>
        <w:t xml:space="preserve"> design </w:t>
      </w:r>
      <w:r w:rsidR="13B55329" w:rsidRPr="01752B5A">
        <w:rPr>
          <w:lang w:val="en-US"/>
        </w:rPr>
        <w:t xml:space="preserve">throughout </w:t>
      </w:r>
      <w:r w:rsidR="00B673E8" w:rsidRPr="01752B5A">
        <w:rPr>
          <w:lang w:val="en-US"/>
        </w:rPr>
        <w:t xml:space="preserve">the project to </w:t>
      </w:r>
      <w:r w:rsidR="4306D780" w:rsidRPr="01752B5A">
        <w:rPr>
          <w:lang w:val="en-US"/>
        </w:rPr>
        <w:t xml:space="preserve">meet the needs of </w:t>
      </w:r>
      <w:r w:rsidR="00B673E8" w:rsidRPr="01752B5A">
        <w:rPr>
          <w:lang w:val="en-US"/>
        </w:rPr>
        <w:t xml:space="preserve">the DRE </w:t>
      </w:r>
      <w:proofErr w:type="gramStart"/>
      <w:r w:rsidR="00B673E8" w:rsidRPr="01752B5A">
        <w:rPr>
          <w:lang w:val="en-US"/>
        </w:rPr>
        <w:t>market</w:t>
      </w:r>
      <w:r w:rsidR="710BEC3C" w:rsidRPr="01752B5A">
        <w:rPr>
          <w:lang w:val="en-US"/>
        </w:rPr>
        <w:t>,</w:t>
      </w:r>
      <w:r w:rsidR="00B673E8" w:rsidRPr="01752B5A">
        <w:rPr>
          <w:lang w:val="en-US"/>
        </w:rPr>
        <w:t xml:space="preserve"> and</w:t>
      </w:r>
      <w:proofErr w:type="gramEnd"/>
      <w:r w:rsidR="00B673E8" w:rsidRPr="01752B5A">
        <w:rPr>
          <w:lang w:val="en-US"/>
        </w:rPr>
        <w:t xml:space="preserve"> establishing partnerships with key industry stakeholders. </w:t>
      </w:r>
      <w:r w:rsidR="007E670F">
        <w:rPr>
          <w:lang w:val="en-US"/>
        </w:rPr>
        <w:t>T</w:t>
      </w:r>
      <w:r w:rsidR="007E670F" w:rsidRPr="007E670F">
        <w:rPr>
          <w:lang w:val="en-US"/>
        </w:rPr>
        <w:t xml:space="preserve">he operation of the PPF facility will </w:t>
      </w:r>
      <w:proofErr w:type="gramStart"/>
      <w:r w:rsidR="007E670F" w:rsidRPr="007E670F">
        <w:rPr>
          <w:lang w:val="en-US"/>
        </w:rPr>
        <w:t>take into account</w:t>
      </w:r>
      <w:proofErr w:type="gramEnd"/>
      <w:r w:rsidR="007E670F" w:rsidRPr="007E670F">
        <w:rPr>
          <w:lang w:val="en-US"/>
        </w:rPr>
        <w:t xml:space="preserve"> the gender and social inclusion aspects</w:t>
      </w:r>
      <w:r w:rsidR="007E670F">
        <w:rPr>
          <w:lang w:val="en-US"/>
        </w:rPr>
        <w:t>.</w:t>
      </w:r>
    </w:p>
    <w:p w14:paraId="2561B46D" w14:textId="780E188E" w:rsidR="004F5FB8" w:rsidRDefault="004F5FB8" w:rsidP="00C5293D">
      <w:pPr>
        <w:pStyle w:val="Heading1"/>
        <w:rPr>
          <w:lang w:val="en-US"/>
        </w:rPr>
      </w:pPr>
      <w:r>
        <w:rPr>
          <w:lang w:val="en-US"/>
        </w:rPr>
        <w:t>S</w:t>
      </w:r>
      <w:r w:rsidR="00B673E8">
        <w:rPr>
          <w:lang w:val="en-US"/>
        </w:rPr>
        <w:t>ervices and implementation arrangements of the PPF</w:t>
      </w:r>
    </w:p>
    <w:p w14:paraId="4A7A4B44" w14:textId="3FB39939" w:rsidR="00C5293D" w:rsidRPr="002508DF" w:rsidRDefault="00A93555" w:rsidP="00C5293D">
      <w:pPr>
        <w:rPr>
          <w:lang w:val="en-US"/>
        </w:rPr>
      </w:pPr>
      <w:r w:rsidRPr="00A93555">
        <w:rPr>
          <w:b/>
          <w:bCs/>
          <w:lang w:val="en-US"/>
        </w:rPr>
        <w:t>The PPF will provide support to the DRE and clean cooking sectors</w:t>
      </w:r>
      <w:r w:rsidR="00B11EA8" w:rsidRPr="00B11EA8">
        <w:t xml:space="preserve"> </w:t>
      </w:r>
      <w:r w:rsidR="00B11EA8" w:rsidRPr="00B11EA8">
        <w:rPr>
          <w:b/>
          <w:bCs/>
          <w:lang w:val="en-US"/>
        </w:rPr>
        <w:t>includ</w:t>
      </w:r>
      <w:r w:rsidR="00C33764">
        <w:rPr>
          <w:b/>
          <w:bCs/>
          <w:lang w:val="en-US"/>
        </w:rPr>
        <w:t>ing</w:t>
      </w:r>
      <w:r w:rsidR="00B11EA8" w:rsidRPr="00B11EA8">
        <w:rPr>
          <w:b/>
          <w:bCs/>
          <w:lang w:val="en-US"/>
        </w:rPr>
        <w:t xml:space="preserve"> women-owned and youth owned investable businesses</w:t>
      </w:r>
      <w:r w:rsidRPr="00A93555">
        <w:rPr>
          <w:b/>
          <w:bCs/>
          <w:lang w:val="en-US"/>
        </w:rPr>
        <w:t xml:space="preserve"> through five mechanisms listed below</w:t>
      </w:r>
      <w:r>
        <w:rPr>
          <w:lang w:val="en-US"/>
        </w:rPr>
        <w:t xml:space="preserve">. These PPF mechanisms are expected </w:t>
      </w:r>
      <w:r w:rsidRPr="00A93555">
        <w:rPr>
          <w:lang w:val="en-US"/>
        </w:rPr>
        <w:t>to play a critical role in (i) accelerating access to finance and reducing the time it takes for companies to reach financial close, (ii) equipping companies with tools and intelligence to expand into new areas/markets, (iii) enhancing companies’ business performance, and (iv) developing a pipeline of investable businesses with solid returns/ impact.</w:t>
      </w:r>
    </w:p>
    <w:p w14:paraId="50A639BB" w14:textId="420485F8" w:rsidR="00C5293D" w:rsidRPr="002508DF" w:rsidRDefault="00F64DAE" w:rsidP="00C5293D">
      <w:pPr>
        <w:pStyle w:val="ListParagraph"/>
        <w:numPr>
          <w:ilvl w:val="0"/>
          <w:numId w:val="1"/>
        </w:numPr>
        <w:rPr>
          <w:lang w:val="en-US"/>
        </w:rPr>
      </w:pPr>
      <w:r w:rsidRPr="01752B5A">
        <w:rPr>
          <w:b/>
          <w:bCs/>
          <w:lang w:val="en-US"/>
        </w:rPr>
        <w:t xml:space="preserve">1. </w:t>
      </w:r>
      <w:r w:rsidR="00C5293D" w:rsidRPr="01752B5A">
        <w:rPr>
          <w:b/>
          <w:bCs/>
          <w:lang w:val="en-US"/>
        </w:rPr>
        <w:t>Publicly available resources</w:t>
      </w:r>
      <w:r w:rsidR="00C5293D" w:rsidRPr="01752B5A">
        <w:rPr>
          <w:lang w:val="en-US"/>
        </w:rPr>
        <w:t>: e</w:t>
      </w:r>
      <w:r w:rsidR="47F8FCEB" w:rsidRPr="01752B5A">
        <w:rPr>
          <w:lang w:val="en-US"/>
        </w:rPr>
        <w:t>.</w:t>
      </w:r>
      <w:r w:rsidR="00C5293D" w:rsidRPr="01752B5A">
        <w:rPr>
          <w:lang w:val="en-US"/>
        </w:rPr>
        <w:t>g</w:t>
      </w:r>
      <w:r w:rsidR="21912269" w:rsidRPr="01752B5A">
        <w:rPr>
          <w:lang w:val="en-US"/>
        </w:rPr>
        <w:t>.</w:t>
      </w:r>
      <w:r w:rsidR="00C5293D" w:rsidRPr="01752B5A">
        <w:rPr>
          <w:lang w:val="en-US"/>
        </w:rPr>
        <w:t xml:space="preserve"> geospatial mapping and planning platforms, country briefs containing</w:t>
      </w:r>
      <w:r w:rsidR="003656D6" w:rsidRPr="01752B5A">
        <w:rPr>
          <w:lang w:val="en-US"/>
        </w:rPr>
        <w:t xml:space="preserve"> useful information for </w:t>
      </w:r>
      <w:r w:rsidR="00881B00" w:rsidRPr="01752B5A">
        <w:rPr>
          <w:lang w:val="en-US"/>
        </w:rPr>
        <w:t xml:space="preserve">DRE and clean cooking </w:t>
      </w:r>
      <w:r w:rsidR="003656D6" w:rsidRPr="01752B5A">
        <w:rPr>
          <w:lang w:val="en-US"/>
        </w:rPr>
        <w:t xml:space="preserve">companies considering expansion </w:t>
      </w:r>
      <w:proofErr w:type="gramStart"/>
      <w:r w:rsidR="003656D6" w:rsidRPr="01752B5A">
        <w:rPr>
          <w:lang w:val="en-US"/>
        </w:rPr>
        <w:t>to</w:t>
      </w:r>
      <w:proofErr w:type="gramEnd"/>
      <w:r w:rsidR="003656D6" w:rsidRPr="01752B5A">
        <w:rPr>
          <w:lang w:val="en-US"/>
        </w:rPr>
        <w:t xml:space="preserve"> new markets</w:t>
      </w:r>
      <w:r w:rsidR="00C5293D" w:rsidRPr="01752B5A">
        <w:rPr>
          <w:lang w:val="en-US"/>
        </w:rPr>
        <w:t xml:space="preserve">, in-depth market assessments for specific technologies in </w:t>
      </w:r>
      <w:r w:rsidR="003656D6" w:rsidRPr="01752B5A">
        <w:rPr>
          <w:lang w:val="en-US"/>
        </w:rPr>
        <w:t xml:space="preserve">unserved and </w:t>
      </w:r>
      <w:r w:rsidR="00C5293D" w:rsidRPr="01752B5A">
        <w:rPr>
          <w:lang w:val="en-US"/>
        </w:rPr>
        <w:t>underserved markets</w:t>
      </w:r>
      <w:r w:rsidR="004A073B" w:rsidRPr="01752B5A">
        <w:rPr>
          <w:lang w:val="en-US"/>
        </w:rPr>
        <w:t xml:space="preserve">, supporting matchmaking between potential suppliers and distributors (particularly for nascent markets and nascent product categories, such as </w:t>
      </w:r>
      <w:proofErr w:type="gramStart"/>
      <w:r w:rsidR="004A073B" w:rsidRPr="01752B5A">
        <w:rPr>
          <w:lang w:val="en-US"/>
        </w:rPr>
        <w:t>productive-use</w:t>
      </w:r>
      <w:proofErr w:type="gramEnd"/>
      <w:r w:rsidR="004A073B" w:rsidRPr="01752B5A">
        <w:rPr>
          <w:lang w:val="en-US"/>
        </w:rPr>
        <w:t xml:space="preserve"> equipment)</w:t>
      </w:r>
      <w:r w:rsidR="00C5293D" w:rsidRPr="01752B5A">
        <w:rPr>
          <w:lang w:val="en-US"/>
        </w:rPr>
        <w:t>.</w:t>
      </w:r>
      <w:r w:rsidR="00881B00" w:rsidRPr="01752B5A">
        <w:rPr>
          <w:lang w:val="en-US"/>
        </w:rPr>
        <w:t xml:space="preserve"> The production of these resources will be driven by unmet market needs.</w:t>
      </w:r>
      <w:r w:rsidR="00D866C2">
        <w:t xml:space="preserve"> As part of this mechanism,</w:t>
      </w:r>
      <w:r w:rsidR="00D866C2" w:rsidRPr="01752B5A">
        <w:rPr>
          <w:lang w:val="en-US"/>
        </w:rPr>
        <w:t> the PPF will also provide “pre-application support”, to companies intending on presenting applications to the PPF. This support may include tailored guidance, capacity-building, and awareness training during the facility launch activities in the form of webinars, workshops or other suitable formats.</w:t>
      </w:r>
    </w:p>
    <w:p w14:paraId="07A7F474" w14:textId="76D3E7BA" w:rsidR="00DD5CFB" w:rsidRPr="00DD5CFB" w:rsidRDefault="00F64DAE" w:rsidP="00DD5CFB">
      <w:pPr>
        <w:pStyle w:val="ListParagraph"/>
        <w:numPr>
          <w:ilvl w:val="0"/>
          <w:numId w:val="1"/>
        </w:numPr>
        <w:rPr>
          <w:lang w:val="en-US"/>
        </w:rPr>
      </w:pPr>
      <w:r w:rsidRPr="00DD5CFB">
        <w:rPr>
          <w:b/>
          <w:bCs/>
          <w:lang w:val="en-US"/>
        </w:rPr>
        <w:t xml:space="preserve">2. </w:t>
      </w:r>
      <w:r w:rsidR="00C5293D" w:rsidRPr="00DD5CFB">
        <w:rPr>
          <w:b/>
          <w:bCs/>
          <w:lang w:val="en-US"/>
        </w:rPr>
        <w:t xml:space="preserve">Roster of experts (consultants) providing </w:t>
      </w:r>
      <w:r w:rsidR="003656D6" w:rsidRPr="00DD5CFB">
        <w:rPr>
          <w:b/>
          <w:bCs/>
          <w:lang w:val="en-US"/>
        </w:rPr>
        <w:t>on-demand</w:t>
      </w:r>
      <w:r w:rsidR="00C5293D" w:rsidRPr="00DD5CFB">
        <w:rPr>
          <w:b/>
          <w:bCs/>
          <w:lang w:val="en-US"/>
        </w:rPr>
        <w:t xml:space="preserve"> </w:t>
      </w:r>
      <w:r w:rsidR="0096159E" w:rsidRPr="00DD5CFB">
        <w:rPr>
          <w:b/>
          <w:bCs/>
          <w:lang w:val="en-US"/>
        </w:rPr>
        <w:t xml:space="preserve">specialized </w:t>
      </w:r>
      <w:r w:rsidR="00C5293D" w:rsidRPr="00DD5CFB">
        <w:rPr>
          <w:b/>
          <w:bCs/>
          <w:lang w:val="en-US"/>
        </w:rPr>
        <w:t>project preparation and business development services</w:t>
      </w:r>
      <w:r w:rsidR="00C5293D" w:rsidRPr="00DD5CFB">
        <w:rPr>
          <w:lang w:val="en-US"/>
        </w:rPr>
        <w:t xml:space="preserve">: the facility will have a roster of consultants to deliver </w:t>
      </w:r>
      <w:r w:rsidR="0096159E" w:rsidRPr="00DD5CFB">
        <w:rPr>
          <w:lang w:val="en-US"/>
        </w:rPr>
        <w:t>specialized</w:t>
      </w:r>
      <w:r w:rsidR="00C5293D" w:rsidRPr="00DD5CFB">
        <w:rPr>
          <w:lang w:val="en-US"/>
        </w:rPr>
        <w:t xml:space="preserve"> services</w:t>
      </w:r>
      <w:r w:rsidR="0096159E" w:rsidRPr="002508DF">
        <w:rPr>
          <w:rStyle w:val="FootnoteReference"/>
          <w:lang w:val="en-US"/>
        </w:rPr>
        <w:footnoteReference w:id="2"/>
      </w:r>
      <w:r w:rsidR="00C5293D" w:rsidRPr="00DD5CFB">
        <w:rPr>
          <w:lang w:val="en-US"/>
        </w:rPr>
        <w:t xml:space="preserve"> deemed critical to unlocking finance for companies</w:t>
      </w:r>
      <w:r w:rsidR="00041239" w:rsidRPr="00DD5CFB">
        <w:rPr>
          <w:lang w:val="en-US"/>
        </w:rPr>
        <w:t xml:space="preserve"> (especially equity and debt)</w:t>
      </w:r>
      <w:r w:rsidR="00C5293D" w:rsidRPr="00DD5CFB">
        <w:rPr>
          <w:lang w:val="en-US"/>
        </w:rPr>
        <w:t xml:space="preserve">. Such services </w:t>
      </w:r>
      <w:r w:rsidR="003656D6" w:rsidRPr="00DD5CFB">
        <w:rPr>
          <w:lang w:val="en-US"/>
        </w:rPr>
        <w:t>may</w:t>
      </w:r>
      <w:r w:rsidR="00C5293D" w:rsidRPr="00DD5CFB">
        <w:rPr>
          <w:lang w:val="en-US"/>
        </w:rPr>
        <w:t xml:space="preserve"> include</w:t>
      </w:r>
      <w:r w:rsidR="003656D6" w:rsidRPr="00DD5CFB">
        <w:rPr>
          <w:lang w:val="en-US"/>
        </w:rPr>
        <w:t xml:space="preserve"> </w:t>
      </w:r>
      <w:r w:rsidR="00EF5B0C" w:rsidRPr="00DD5CFB">
        <w:rPr>
          <w:lang w:val="en-US"/>
        </w:rPr>
        <w:t>feasibility studies</w:t>
      </w:r>
      <w:r w:rsidR="00E91FA8" w:rsidRPr="00DD5CFB">
        <w:rPr>
          <w:lang w:val="en-US"/>
        </w:rPr>
        <w:t xml:space="preserve"> or other investment-grade studies</w:t>
      </w:r>
      <w:r w:rsidR="00EF5B0C" w:rsidRPr="00DD5CFB">
        <w:rPr>
          <w:lang w:val="en-US"/>
        </w:rPr>
        <w:t xml:space="preserve">, support to </w:t>
      </w:r>
      <w:r w:rsidR="00A9250D" w:rsidRPr="00DD5CFB">
        <w:rPr>
          <w:lang w:val="en-US"/>
        </w:rPr>
        <w:t>digitize</w:t>
      </w:r>
      <w:r w:rsidR="00EF5B0C" w:rsidRPr="00DD5CFB">
        <w:rPr>
          <w:lang w:val="en-US"/>
        </w:rPr>
        <w:t xml:space="preserve"> companies’ operations, support to improve </w:t>
      </w:r>
      <w:r w:rsidR="00D46BFE" w:rsidRPr="00DD5CFB">
        <w:rPr>
          <w:lang w:val="en-US"/>
        </w:rPr>
        <w:t xml:space="preserve">companies’ </w:t>
      </w:r>
      <w:r w:rsidR="00EF5B0C" w:rsidRPr="00DD5CFB">
        <w:rPr>
          <w:lang w:val="en-US"/>
        </w:rPr>
        <w:t xml:space="preserve">credit risk management, </w:t>
      </w:r>
      <w:r w:rsidR="00E91FA8" w:rsidRPr="00DD5CFB">
        <w:rPr>
          <w:lang w:val="en-US"/>
        </w:rPr>
        <w:t>legal services to support transactions, producing</w:t>
      </w:r>
      <w:r w:rsidR="00EF5B0C" w:rsidRPr="00DD5CFB">
        <w:rPr>
          <w:lang w:val="en-US"/>
        </w:rPr>
        <w:t xml:space="preserve"> financial reporting and ESG requirements of potential investors, or preparing carbon finance projects</w:t>
      </w:r>
      <w:r w:rsidR="007E246E">
        <w:rPr>
          <w:lang w:val="en-US"/>
        </w:rPr>
        <w:t>. The roster of experts will</w:t>
      </w:r>
      <w:r w:rsidR="004416CE" w:rsidRPr="004416CE">
        <w:rPr>
          <w:lang w:val="en-US"/>
        </w:rPr>
        <w:t xml:space="preserve"> include consultants </w:t>
      </w:r>
      <w:r w:rsidR="0074482B" w:rsidRPr="004416CE">
        <w:rPr>
          <w:lang w:val="en-US"/>
        </w:rPr>
        <w:t xml:space="preserve">that </w:t>
      </w:r>
      <w:r w:rsidR="00331BFD" w:rsidRPr="004416CE">
        <w:rPr>
          <w:lang w:val="en-US"/>
        </w:rPr>
        <w:t>understand</w:t>
      </w:r>
      <w:r w:rsidR="004416CE" w:rsidRPr="004416CE">
        <w:rPr>
          <w:lang w:val="en-US"/>
        </w:rPr>
        <w:t xml:space="preserve"> the challenges facing and the ability to work with women-owned and youth-owned </w:t>
      </w:r>
      <w:r w:rsidR="0074482B" w:rsidRPr="004416CE">
        <w:rPr>
          <w:lang w:val="en-US"/>
        </w:rPr>
        <w:t>businesses</w:t>
      </w:r>
      <w:r w:rsidR="0074482B">
        <w:rPr>
          <w:lang w:val="en-US"/>
        </w:rPr>
        <w:t>.</w:t>
      </w:r>
      <w:r w:rsidR="00AE20DE" w:rsidRPr="00AE20DE">
        <w:t xml:space="preserve"> </w:t>
      </w:r>
      <w:r w:rsidR="00AE20DE" w:rsidRPr="00DD5CFB">
        <w:rPr>
          <w:lang w:val="en-US"/>
        </w:rPr>
        <w:t xml:space="preserve">Companies benefiting from the roster of experts will be responsible for the final outputs in each case, with the consultants supporting them through the process. </w:t>
      </w:r>
      <w:r w:rsidR="007104FD" w:rsidRPr="00DD5CFB">
        <w:rPr>
          <w:lang w:val="en-US"/>
        </w:rPr>
        <w:t xml:space="preserve"> </w:t>
      </w:r>
      <w:r w:rsidR="00EF5B0C" w:rsidRPr="00DD5CFB">
        <w:rPr>
          <w:lang w:val="en-US"/>
        </w:rPr>
        <w:t xml:space="preserve">The roster of experts and list of services will be </w:t>
      </w:r>
      <w:r w:rsidR="007104FD" w:rsidRPr="00DD5CFB">
        <w:rPr>
          <w:lang w:val="en-US"/>
        </w:rPr>
        <w:t xml:space="preserve">updated periodically based on feedback from the sector </w:t>
      </w:r>
      <w:r w:rsidR="00DD5CFB" w:rsidRPr="00DD5CFB">
        <w:rPr>
          <w:lang w:val="en-US"/>
        </w:rPr>
        <w:t xml:space="preserve">, which the PPF manager will be responsible </w:t>
      </w:r>
      <w:proofErr w:type="gramStart"/>
      <w:r w:rsidR="00DD5CFB" w:rsidRPr="00DD5CFB">
        <w:rPr>
          <w:lang w:val="en-US"/>
        </w:rPr>
        <w:t>to collect</w:t>
      </w:r>
      <w:proofErr w:type="gramEnd"/>
      <w:r w:rsidR="00DD5CFB" w:rsidRPr="00DD5CFB">
        <w:rPr>
          <w:lang w:val="en-US"/>
        </w:rPr>
        <w:t xml:space="preserve"> and </w:t>
      </w:r>
      <w:proofErr w:type="gramStart"/>
      <w:r w:rsidR="00DD5CFB" w:rsidRPr="00DD5CFB">
        <w:rPr>
          <w:lang w:val="en-US"/>
        </w:rPr>
        <w:t>process</w:t>
      </w:r>
      <w:proofErr w:type="gramEnd"/>
      <w:r w:rsidR="00DD5CFB" w:rsidRPr="00DD5CFB">
        <w:rPr>
          <w:lang w:val="en-US"/>
        </w:rPr>
        <w:t xml:space="preserve">. </w:t>
      </w:r>
    </w:p>
    <w:p w14:paraId="1401A675" w14:textId="5159BEDC" w:rsidR="00C5293D" w:rsidRPr="002508DF" w:rsidRDefault="00C5293D" w:rsidP="00C5293D">
      <w:pPr>
        <w:pStyle w:val="ListParagraph"/>
        <w:numPr>
          <w:ilvl w:val="0"/>
          <w:numId w:val="1"/>
        </w:numPr>
        <w:rPr>
          <w:lang w:val="en-US"/>
        </w:rPr>
      </w:pPr>
    </w:p>
    <w:p w14:paraId="1E5BA315" w14:textId="3A6DB02C" w:rsidR="00C5293D" w:rsidRDefault="00F64DAE" w:rsidP="00C5293D">
      <w:pPr>
        <w:pStyle w:val="ListParagraph"/>
        <w:numPr>
          <w:ilvl w:val="0"/>
          <w:numId w:val="1"/>
        </w:numPr>
        <w:rPr>
          <w:lang w:val="en-US"/>
        </w:rPr>
      </w:pPr>
      <w:r>
        <w:rPr>
          <w:b/>
          <w:bCs/>
          <w:lang w:val="en-US"/>
        </w:rPr>
        <w:t xml:space="preserve">3. </w:t>
      </w:r>
      <w:r w:rsidR="00C5293D" w:rsidRPr="002508DF">
        <w:rPr>
          <w:b/>
          <w:bCs/>
          <w:lang w:val="en-US"/>
        </w:rPr>
        <w:t>Grants for project preparation and business development</w:t>
      </w:r>
      <w:r w:rsidR="00C5293D" w:rsidRPr="002508DF">
        <w:rPr>
          <w:lang w:val="en-US"/>
        </w:rPr>
        <w:t>: for specific activities not covered by the roster of consultants, grants will be made available for companies to use for eligible activities</w:t>
      </w:r>
      <w:r w:rsidR="005E4E33">
        <w:rPr>
          <w:lang w:val="en-US"/>
        </w:rPr>
        <w:t xml:space="preserve"> </w:t>
      </w:r>
      <w:r w:rsidR="005E4E33" w:rsidRPr="005E4E33">
        <w:rPr>
          <w:lang w:val="en-US"/>
        </w:rPr>
        <w:t xml:space="preserve">that are critical for them to be able to raise equity and debt. </w:t>
      </w:r>
      <w:r w:rsidR="00E330EC" w:rsidRPr="002508DF">
        <w:rPr>
          <w:lang w:val="en-US"/>
        </w:rPr>
        <w:t xml:space="preserve"> </w:t>
      </w:r>
      <w:r w:rsidR="00E91FA8" w:rsidRPr="002508DF">
        <w:rPr>
          <w:lang w:val="en-US"/>
        </w:rPr>
        <w:t xml:space="preserve">Such activities may include </w:t>
      </w:r>
      <w:r w:rsidR="00F75C1F" w:rsidRPr="00F75C1F">
        <w:rPr>
          <w:lang w:val="en-US"/>
        </w:rPr>
        <w:t xml:space="preserve">conducting feasibility studies </w:t>
      </w:r>
      <w:r w:rsidR="00F75C1F">
        <w:rPr>
          <w:lang w:val="en-US"/>
        </w:rPr>
        <w:t>,</w:t>
      </w:r>
      <w:r w:rsidR="00E91FA8" w:rsidRPr="002508DF">
        <w:rPr>
          <w:lang w:val="en-US"/>
        </w:rPr>
        <w:t xml:space="preserve">the integration of software, </w:t>
      </w:r>
      <w:r w:rsidR="0038621B" w:rsidRPr="002508DF">
        <w:rPr>
          <w:lang w:val="en-US"/>
        </w:rPr>
        <w:t xml:space="preserve">testing a new product or technology, or hiring a staff member that is critical to unlocking investment. </w:t>
      </w:r>
      <w:r w:rsidR="00E330EC" w:rsidRPr="002508DF">
        <w:rPr>
          <w:lang w:val="en-US"/>
        </w:rPr>
        <w:t>Requests for grants that are supported by investors or financial advisors to companies (</w:t>
      </w:r>
      <w:proofErr w:type="spellStart"/>
      <w:r w:rsidR="00E330EC" w:rsidRPr="002508DF">
        <w:rPr>
          <w:lang w:val="en-US"/>
        </w:rPr>
        <w:t>ie</w:t>
      </w:r>
      <w:proofErr w:type="spellEnd"/>
      <w:r w:rsidR="00E330EC" w:rsidRPr="002508DF">
        <w:rPr>
          <w:lang w:val="en-US"/>
        </w:rPr>
        <w:t xml:space="preserve"> grants for purposes which will help mobilize or advance investment) will be prioritized. </w:t>
      </w:r>
      <w:r w:rsidR="00D46BFE">
        <w:rPr>
          <w:lang w:val="en-US"/>
        </w:rPr>
        <w:t>The disbursement of the grants will be milestone-based.</w:t>
      </w:r>
      <w:r w:rsidR="00E330EC" w:rsidRPr="002508DF">
        <w:rPr>
          <w:lang w:val="en-US"/>
        </w:rPr>
        <w:t xml:space="preserve"> </w:t>
      </w:r>
    </w:p>
    <w:p w14:paraId="0817F97E" w14:textId="0280D0BE" w:rsidR="00EF5B0C" w:rsidRDefault="00F64DAE" w:rsidP="00C5293D">
      <w:pPr>
        <w:pStyle w:val="ListParagraph"/>
        <w:numPr>
          <w:ilvl w:val="0"/>
          <w:numId w:val="1"/>
        </w:numPr>
        <w:rPr>
          <w:lang w:val="en-US"/>
        </w:rPr>
      </w:pPr>
      <w:r>
        <w:rPr>
          <w:b/>
          <w:bCs/>
          <w:lang w:val="en-US"/>
        </w:rPr>
        <w:t xml:space="preserve">4. </w:t>
      </w:r>
      <w:r w:rsidR="00EF5B0C" w:rsidRPr="002508DF">
        <w:rPr>
          <w:b/>
          <w:bCs/>
          <w:lang w:val="en-US"/>
        </w:rPr>
        <w:t xml:space="preserve">Grants to industry associations and investors providing project preparation and business development services: </w:t>
      </w:r>
      <w:r w:rsidR="00E330EC" w:rsidRPr="002508DF">
        <w:rPr>
          <w:lang w:val="en-US"/>
        </w:rPr>
        <w:t xml:space="preserve">In addition to companies, other stakeholders (such as industry associations and financiers) can apply for grants to deliver project preparation and business development services to companies, provided these are complementary to the PPF facility and targeted to </w:t>
      </w:r>
      <w:r w:rsidR="004A073B" w:rsidRPr="002508DF">
        <w:rPr>
          <w:lang w:val="en-US"/>
        </w:rPr>
        <w:t xml:space="preserve">ASCENT </w:t>
      </w:r>
      <w:r w:rsidR="00E330EC" w:rsidRPr="002508DF">
        <w:rPr>
          <w:lang w:val="en-US"/>
        </w:rPr>
        <w:t>eligible companies in eligible countries.</w:t>
      </w:r>
      <w:r w:rsidR="004A073B" w:rsidRPr="002508DF">
        <w:rPr>
          <w:lang w:val="en-US"/>
        </w:rPr>
        <w:t xml:space="preserve"> Grants to investors and lenders may also be used to cover their own core </w:t>
      </w:r>
      <w:proofErr w:type="gramStart"/>
      <w:r w:rsidR="004A073B" w:rsidRPr="002508DF">
        <w:rPr>
          <w:lang w:val="en-US"/>
        </w:rPr>
        <w:t>transaction</w:t>
      </w:r>
      <w:proofErr w:type="gramEnd"/>
      <w:r w:rsidR="004A073B" w:rsidRPr="002508DF">
        <w:rPr>
          <w:lang w:val="en-US"/>
        </w:rPr>
        <w:t xml:space="preserve"> and due diligence related costs, provided this facilitates investment in ASCENT eligible companies in eligible countries.</w:t>
      </w:r>
      <w:r w:rsidR="00FA1D75">
        <w:rPr>
          <w:lang w:val="en-US"/>
        </w:rPr>
        <w:t xml:space="preserve"> The disbursement of the grants will be milestone-based.</w:t>
      </w:r>
    </w:p>
    <w:p w14:paraId="06C2178E" w14:textId="21C427B9" w:rsidR="00CB5187" w:rsidRPr="00CB5187" w:rsidRDefault="002901E4" w:rsidP="00CB5187">
      <w:pPr>
        <w:pStyle w:val="ListParagraph"/>
        <w:numPr>
          <w:ilvl w:val="0"/>
          <w:numId w:val="1"/>
        </w:numPr>
        <w:rPr>
          <w:lang w:val="en-US"/>
        </w:rPr>
      </w:pPr>
      <w:r w:rsidRPr="002901E4">
        <w:rPr>
          <w:b/>
          <w:bCs/>
          <w:lang w:val="en-US"/>
        </w:rPr>
        <w:t xml:space="preserve">5. </w:t>
      </w:r>
      <w:r w:rsidR="00CB5187" w:rsidRPr="002901E4">
        <w:rPr>
          <w:b/>
          <w:bCs/>
          <w:lang w:val="en-US"/>
        </w:rPr>
        <w:t xml:space="preserve">Support </w:t>
      </w:r>
      <w:proofErr w:type="gramStart"/>
      <w:r w:rsidR="00CB5187" w:rsidRPr="002901E4">
        <w:rPr>
          <w:b/>
          <w:bCs/>
          <w:lang w:val="en-US"/>
        </w:rPr>
        <w:t>to</w:t>
      </w:r>
      <w:proofErr w:type="gramEnd"/>
      <w:r w:rsidR="00CB5187" w:rsidRPr="002901E4">
        <w:rPr>
          <w:b/>
          <w:bCs/>
          <w:lang w:val="en-US"/>
        </w:rPr>
        <w:t xml:space="preserve"> national agencies and cross-border solutions</w:t>
      </w:r>
      <w:r w:rsidR="00CB5187">
        <w:rPr>
          <w:lang w:val="en-US"/>
        </w:rPr>
        <w:t xml:space="preserve">: the same consulting services from the roster </w:t>
      </w:r>
      <w:r>
        <w:rPr>
          <w:lang w:val="en-US"/>
        </w:rPr>
        <w:t>of experts and grant mechanisms established to support the private sector will also be put to the service of the other two components of the PPF (</w:t>
      </w:r>
      <w:proofErr w:type="spellStart"/>
      <w:r>
        <w:rPr>
          <w:lang w:val="en-US"/>
        </w:rPr>
        <w:t>ie</w:t>
      </w:r>
      <w:proofErr w:type="spellEnd"/>
      <w:r>
        <w:rPr>
          <w:lang w:val="en-US"/>
        </w:rPr>
        <w:t xml:space="preserve">, support </w:t>
      </w:r>
      <w:proofErr w:type="gramStart"/>
      <w:r>
        <w:rPr>
          <w:lang w:val="en-US"/>
        </w:rPr>
        <w:t>to</w:t>
      </w:r>
      <w:proofErr w:type="gramEnd"/>
      <w:r>
        <w:rPr>
          <w:lang w:val="en-US"/>
        </w:rPr>
        <w:t xml:space="preserve"> </w:t>
      </w:r>
      <w:r w:rsidRPr="002901E4">
        <w:rPr>
          <w:lang w:val="en-US"/>
        </w:rPr>
        <w:t xml:space="preserve">national agencies </w:t>
      </w:r>
      <w:proofErr w:type="gramStart"/>
      <w:r w:rsidRPr="002901E4">
        <w:rPr>
          <w:lang w:val="en-US"/>
        </w:rPr>
        <w:t xml:space="preserve">and </w:t>
      </w:r>
      <w:r>
        <w:rPr>
          <w:lang w:val="en-US"/>
        </w:rPr>
        <w:t>to</w:t>
      </w:r>
      <w:proofErr w:type="gramEnd"/>
      <w:r>
        <w:rPr>
          <w:lang w:val="en-US"/>
        </w:rPr>
        <w:t xml:space="preserve"> </w:t>
      </w:r>
      <w:r w:rsidRPr="002901E4">
        <w:rPr>
          <w:lang w:val="en-US"/>
        </w:rPr>
        <w:t>cross-border solutions</w:t>
      </w:r>
      <w:r>
        <w:rPr>
          <w:lang w:val="en-US"/>
        </w:rPr>
        <w:t>). This mechanism will also be</w:t>
      </w:r>
      <w:r w:rsidR="00CB5187" w:rsidRPr="00CB5187">
        <w:rPr>
          <w:lang w:val="en-US"/>
        </w:rPr>
        <w:t xml:space="preserve"> application based. </w:t>
      </w:r>
      <w:r>
        <w:rPr>
          <w:lang w:val="en-US"/>
        </w:rPr>
        <w:t>It</w:t>
      </w:r>
      <w:r w:rsidR="00CB5187" w:rsidRPr="00CB5187">
        <w:rPr>
          <w:lang w:val="en-US"/>
        </w:rPr>
        <w:t xml:space="preserve"> will be further developed in close coordination with the “Advisory support to governments” window</w:t>
      </w:r>
      <w:r>
        <w:rPr>
          <w:lang w:val="en-US"/>
        </w:rPr>
        <w:t xml:space="preserve"> under the COMESA </w:t>
      </w:r>
      <w:r w:rsidRPr="002901E4">
        <w:rPr>
          <w:lang w:val="en-US"/>
        </w:rPr>
        <w:t>Regional Energy Access Acceleration Platform</w:t>
      </w:r>
      <w:r>
        <w:rPr>
          <w:lang w:val="en-US"/>
        </w:rPr>
        <w:t>.</w:t>
      </w:r>
    </w:p>
    <w:p w14:paraId="3F80329F" w14:textId="77777777" w:rsidR="00A84834" w:rsidRDefault="004E2309" w:rsidP="007E1EBC">
      <w:pPr>
        <w:rPr>
          <w:lang w:val="en-US"/>
        </w:rPr>
      </w:pPr>
      <w:r w:rsidRPr="003412EE">
        <w:rPr>
          <w:b/>
          <w:bCs/>
          <w:lang w:val="en-US"/>
        </w:rPr>
        <w:t xml:space="preserve">The COMESA Secretariat will be responsible for overall coordination of the PPF through the </w:t>
      </w:r>
      <w:r w:rsidR="006A4269" w:rsidRPr="003412EE">
        <w:rPr>
          <w:b/>
          <w:bCs/>
          <w:lang w:val="en-US"/>
        </w:rPr>
        <w:t>Project Implementation Unit (</w:t>
      </w:r>
      <w:r w:rsidRPr="003412EE">
        <w:rPr>
          <w:b/>
          <w:bCs/>
          <w:lang w:val="en-US"/>
        </w:rPr>
        <w:t>PIU</w:t>
      </w:r>
      <w:r w:rsidR="006A4269" w:rsidRPr="003412EE">
        <w:rPr>
          <w:b/>
          <w:bCs/>
          <w:lang w:val="en-US"/>
        </w:rPr>
        <w:t>)</w:t>
      </w:r>
      <w:r w:rsidRPr="003412EE">
        <w:rPr>
          <w:b/>
          <w:bCs/>
          <w:lang w:val="en-US"/>
        </w:rPr>
        <w:t xml:space="preserve"> of the Regional Energy Access Acceleration Platform</w:t>
      </w:r>
      <w:r w:rsidR="003412EE" w:rsidRPr="003412EE">
        <w:rPr>
          <w:b/>
          <w:bCs/>
          <w:lang w:val="en-US"/>
        </w:rPr>
        <w:t xml:space="preserve">. The PPF manager will be responsible for the management of all processes and </w:t>
      </w:r>
      <w:r w:rsidR="00BA5374">
        <w:rPr>
          <w:b/>
          <w:bCs/>
          <w:lang w:val="en-US"/>
        </w:rPr>
        <w:t xml:space="preserve">will </w:t>
      </w:r>
      <w:r w:rsidR="003412EE" w:rsidRPr="003412EE">
        <w:rPr>
          <w:b/>
          <w:bCs/>
          <w:lang w:val="en-US"/>
        </w:rPr>
        <w:t>report to COMESA</w:t>
      </w:r>
      <w:r w:rsidR="003412EE">
        <w:rPr>
          <w:lang w:val="en-US"/>
        </w:rPr>
        <w:t>. These processes include</w:t>
      </w:r>
      <w:r w:rsidRPr="002508DF">
        <w:rPr>
          <w:lang w:val="en-US"/>
        </w:rPr>
        <w:t xml:space="preserve"> </w:t>
      </w:r>
      <w:r w:rsidR="00004344" w:rsidRPr="002508DF">
        <w:rPr>
          <w:lang w:val="en-US"/>
        </w:rPr>
        <w:t xml:space="preserve">detailed design of </w:t>
      </w:r>
      <w:r w:rsidR="003412EE">
        <w:rPr>
          <w:lang w:val="en-US"/>
        </w:rPr>
        <w:t>the PPF</w:t>
      </w:r>
      <w:r w:rsidR="00004344" w:rsidRPr="002508DF">
        <w:rPr>
          <w:lang w:val="en-US"/>
        </w:rPr>
        <w:t>, produc</w:t>
      </w:r>
      <w:r w:rsidR="003412EE">
        <w:rPr>
          <w:lang w:val="en-US"/>
        </w:rPr>
        <w:t>ing</w:t>
      </w:r>
      <w:r w:rsidR="00004344" w:rsidRPr="002508DF">
        <w:rPr>
          <w:lang w:val="en-US"/>
        </w:rPr>
        <w:t xml:space="preserve"> documentation, engag</w:t>
      </w:r>
      <w:r w:rsidR="003412EE">
        <w:rPr>
          <w:lang w:val="en-US"/>
        </w:rPr>
        <w:t>ing</w:t>
      </w:r>
      <w:r w:rsidR="00004344" w:rsidRPr="002508DF">
        <w:rPr>
          <w:lang w:val="en-US"/>
        </w:rPr>
        <w:t xml:space="preserve"> </w:t>
      </w:r>
      <w:r w:rsidR="003412EE">
        <w:rPr>
          <w:lang w:val="en-US"/>
        </w:rPr>
        <w:t xml:space="preserve">the </w:t>
      </w:r>
      <w:r w:rsidR="00004344" w:rsidRPr="002508DF">
        <w:rPr>
          <w:lang w:val="en-US"/>
        </w:rPr>
        <w:t>roster of experts, manag</w:t>
      </w:r>
      <w:r w:rsidR="003412EE">
        <w:rPr>
          <w:lang w:val="en-US"/>
        </w:rPr>
        <w:t>ing</w:t>
      </w:r>
      <w:r w:rsidR="00004344" w:rsidRPr="002508DF">
        <w:rPr>
          <w:lang w:val="en-US"/>
        </w:rPr>
        <w:t xml:space="preserve"> company </w:t>
      </w:r>
      <w:r w:rsidR="003412EE">
        <w:rPr>
          <w:lang w:val="en-US"/>
        </w:rPr>
        <w:t xml:space="preserve">and government agency </w:t>
      </w:r>
      <w:r w:rsidR="00004344" w:rsidRPr="002508DF">
        <w:rPr>
          <w:lang w:val="en-US"/>
        </w:rPr>
        <w:t>applications and recommend</w:t>
      </w:r>
      <w:r w:rsidR="003412EE">
        <w:rPr>
          <w:lang w:val="en-US"/>
        </w:rPr>
        <w:t>ing</w:t>
      </w:r>
      <w:r w:rsidR="00004344" w:rsidRPr="002508DF">
        <w:rPr>
          <w:lang w:val="en-US"/>
        </w:rPr>
        <w:t xml:space="preserve"> selection to COMESA, </w:t>
      </w:r>
      <w:r w:rsidR="00704D4D" w:rsidRPr="002508DF">
        <w:rPr>
          <w:lang w:val="en-US"/>
        </w:rPr>
        <w:t>provid</w:t>
      </w:r>
      <w:r w:rsidR="003412EE">
        <w:rPr>
          <w:lang w:val="en-US"/>
        </w:rPr>
        <w:t>ing</w:t>
      </w:r>
      <w:r w:rsidR="00704D4D" w:rsidRPr="002508DF">
        <w:rPr>
          <w:lang w:val="en-US"/>
        </w:rPr>
        <w:t xml:space="preserve"> COMESA with instructions for </w:t>
      </w:r>
      <w:r w:rsidR="00004344" w:rsidRPr="002508DF">
        <w:rPr>
          <w:lang w:val="en-US"/>
        </w:rPr>
        <w:t>grant disbursements, reporting, etc.</w:t>
      </w:r>
      <w:r w:rsidR="003412EE">
        <w:rPr>
          <w:lang w:val="en-US"/>
        </w:rPr>
        <w:t xml:space="preserve"> </w:t>
      </w:r>
    </w:p>
    <w:p w14:paraId="3AC29DEC" w14:textId="171BA97D" w:rsidR="00A84834" w:rsidRDefault="00A84834" w:rsidP="007E1EBC">
      <w:pPr>
        <w:rPr>
          <w:lang w:val="en-US"/>
        </w:rPr>
      </w:pPr>
      <w:r w:rsidRPr="00A84834">
        <w:rPr>
          <w:lang w:val="en-US"/>
        </w:rPr>
        <w:t>PPF Manager shall ensure that due diligence is exercised during project preparation such that measures are undertaken to identify, assess and manage the environmental and social risks and impacts of all proposed projects. The exercise of environmental and social due diligence shall follow WB’s ESF, good international industry practices (GIIP) and the established relevant guidance.</w:t>
      </w:r>
    </w:p>
    <w:p w14:paraId="57A0EC05" w14:textId="0BD9BA09" w:rsidR="00B94E56" w:rsidRPr="002508DF" w:rsidRDefault="00B94E56" w:rsidP="007E1EBC">
      <w:pPr>
        <w:rPr>
          <w:lang w:val="en-US"/>
        </w:rPr>
      </w:pPr>
      <w:r w:rsidRPr="002508DF">
        <w:rPr>
          <w:lang w:val="en-US"/>
        </w:rPr>
        <w:t>The figure and table below provide an illustrative institutional arrangement for the management of the PPF</w:t>
      </w:r>
      <w:r w:rsidR="003412EE">
        <w:rPr>
          <w:lang w:val="en-US"/>
        </w:rPr>
        <w:t>.</w:t>
      </w:r>
      <w:r w:rsidRPr="002508DF">
        <w:rPr>
          <w:lang w:val="en-US"/>
        </w:rPr>
        <w:t xml:space="preserve"> </w:t>
      </w:r>
    </w:p>
    <w:p w14:paraId="08B754DD" w14:textId="454E7E8F" w:rsidR="00381FE3" w:rsidRPr="002508DF" w:rsidRDefault="00704D4D" w:rsidP="00704D4D">
      <w:pPr>
        <w:pStyle w:val="Caption"/>
        <w:rPr>
          <w:lang w:val="en-US"/>
        </w:rPr>
      </w:pPr>
      <w:r w:rsidRPr="002508DF">
        <w:rPr>
          <w:lang w:val="en-US"/>
        </w:rPr>
        <w:t xml:space="preserve">Figure </w:t>
      </w:r>
      <w:r w:rsidRPr="002508DF">
        <w:rPr>
          <w:lang w:val="en-US"/>
        </w:rPr>
        <w:fldChar w:fldCharType="begin"/>
      </w:r>
      <w:r w:rsidRPr="002508DF">
        <w:rPr>
          <w:lang w:val="en-US"/>
        </w:rPr>
        <w:instrText xml:space="preserve"> SEQ Figure \* ARABIC </w:instrText>
      </w:r>
      <w:r w:rsidRPr="002508DF">
        <w:rPr>
          <w:lang w:val="en-US"/>
        </w:rPr>
        <w:fldChar w:fldCharType="separate"/>
      </w:r>
      <w:r w:rsidR="00AF7CD3">
        <w:rPr>
          <w:noProof/>
          <w:lang w:val="en-US"/>
        </w:rPr>
        <w:t>2</w:t>
      </w:r>
      <w:r w:rsidRPr="002508DF">
        <w:rPr>
          <w:lang w:val="en-US"/>
        </w:rPr>
        <w:fldChar w:fldCharType="end"/>
      </w:r>
      <w:r w:rsidRPr="002508DF">
        <w:rPr>
          <w:lang w:val="en-US"/>
        </w:rPr>
        <w:t xml:space="preserve">: </w:t>
      </w:r>
      <w:r w:rsidR="00381FE3" w:rsidRPr="002508DF">
        <w:rPr>
          <w:lang w:val="en-US"/>
        </w:rPr>
        <w:t>Illustrative institutional arrangement</w:t>
      </w:r>
    </w:p>
    <w:p w14:paraId="1556CCB7" w14:textId="606B2112" w:rsidR="00381FE3" w:rsidRPr="002508DF" w:rsidRDefault="004575CE" w:rsidP="00F95290">
      <w:pPr>
        <w:pStyle w:val="Caption"/>
        <w:rPr>
          <w:lang w:val="en-US"/>
        </w:rPr>
      </w:pPr>
      <w:r>
        <w:rPr>
          <w:noProof/>
          <w:lang w:val="en-US"/>
        </w:rPr>
        <w:drawing>
          <wp:inline distT="0" distB="0" distL="0" distR="0" wp14:anchorId="7D1078F6" wp14:editId="08A1411A">
            <wp:extent cx="5732939" cy="3298825"/>
            <wp:effectExtent l="0" t="0" r="1270" b="0"/>
            <wp:docPr id="225780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4230" cy="3316830"/>
                    </a:xfrm>
                    <a:prstGeom prst="rect">
                      <a:avLst/>
                    </a:prstGeom>
                    <a:noFill/>
                  </pic:spPr>
                </pic:pic>
              </a:graphicData>
            </a:graphic>
          </wp:inline>
        </w:drawing>
      </w:r>
    </w:p>
    <w:p w14:paraId="59C8ABFA" w14:textId="47ECDFD2" w:rsidR="00381FE3" w:rsidRPr="002508DF" w:rsidRDefault="00704D4D" w:rsidP="00704D4D">
      <w:pPr>
        <w:pStyle w:val="Caption"/>
        <w:rPr>
          <w:lang w:val="en-US"/>
        </w:rPr>
      </w:pPr>
      <w:bookmarkStart w:id="1" w:name="_Ref176361766"/>
      <w:r w:rsidRPr="002508DF">
        <w:rPr>
          <w:lang w:val="en-US"/>
        </w:rPr>
        <w:t xml:space="preserve">Table </w:t>
      </w:r>
      <w:r w:rsidRPr="002508DF">
        <w:rPr>
          <w:lang w:val="en-US"/>
        </w:rPr>
        <w:fldChar w:fldCharType="begin"/>
      </w:r>
      <w:r w:rsidRPr="002508DF">
        <w:rPr>
          <w:lang w:val="en-US"/>
        </w:rPr>
        <w:instrText xml:space="preserve"> SEQ Table \* ARABIC </w:instrText>
      </w:r>
      <w:r w:rsidRPr="002508DF">
        <w:rPr>
          <w:lang w:val="en-US"/>
        </w:rPr>
        <w:fldChar w:fldCharType="separate"/>
      </w:r>
      <w:r w:rsidR="003A6B03">
        <w:rPr>
          <w:noProof/>
          <w:lang w:val="en-US"/>
        </w:rPr>
        <w:t>1</w:t>
      </w:r>
      <w:r w:rsidRPr="002508DF">
        <w:rPr>
          <w:lang w:val="en-US"/>
        </w:rPr>
        <w:fldChar w:fldCharType="end"/>
      </w:r>
      <w:bookmarkEnd w:id="1"/>
      <w:r w:rsidRPr="002508DF">
        <w:rPr>
          <w:lang w:val="en-US"/>
        </w:rPr>
        <w:t xml:space="preserve">: </w:t>
      </w:r>
      <w:r w:rsidR="00381FE3" w:rsidRPr="002508DF">
        <w:rPr>
          <w:lang w:val="en-US"/>
        </w:rPr>
        <w:t>Role of parties under proposed institutional arrangement</w:t>
      </w:r>
    </w:p>
    <w:tbl>
      <w:tblPr>
        <w:tblStyle w:val="TableGrid"/>
        <w:tblW w:w="0" w:type="auto"/>
        <w:tblLook w:val="04A0" w:firstRow="1" w:lastRow="0" w:firstColumn="1" w:lastColumn="0" w:noHBand="0" w:noVBand="1"/>
      </w:tblPr>
      <w:tblGrid>
        <w:gridCol w:w="1838"/>
        <w:gridCol w:w="7224"/>
      </w:tblGrid>
      <w:tr w:rsidR="0011744A" w:rsidRPr="002508DF" w14:paraId="4032EFF8" w14:textId="77777777" w:rsidTr="00B94E56">
        <w:tc>
          <w:tcPr>
            <w:tcW w:w="1838" w:type="dxa"/>
          </w:tcPr>
          <w:p w14:paraId="0ED8A520" w14:textId="7DA851D9" w:rsidR="0011744A" w:rsidRPr="002508DF" w:rsidRDefault="0011744A" w:rsidP="007E1EBC">
            <w:pPr>
              <w:rPr>
                <w:b/>
                <w:bCs/>
                <w:sz w:val="20"/>
                <w:szCs w:val="20"/>
                <w:lang w:val="en-US"/>
              </w:rPr>
            </w:pPr>
            <w:r w:rsidRPr="002508DF">
              <w:rPr>
                <w:b/>
                <w:bCs/>
                <w:sz w:val="20"/>
                <w:szCs w:val="20"/>
                <w:lang w:val="en-US"/>
              </w:rPr>
              <w:t>Institution</w:t>
            </w:r>
          </w:p>
        </w:tc>
        <w:tc>
          <w:tcPr>
            <w:tcW w:w="7224" w:type="dxa"/>
          </w:tcPr>
          <w:p w14:paraId="28437D84" w14:textId="5F6E5CC7" w:rsidR="0011744A" w:rsidRPr="002508DF" w:rsidRDefault="0011744A" w:rsidP="0011744A">
            <w:pPr>
              <w:rPr>
                <w:b/>
                <w:bCs/>
                <w:sz w:val="20"/>
                <w:szCs w:val="20"/>
                <w:lang w:val="en-US"/>
              </w:rPr>
            </w:pPr>
            <w:r w:rsidRPr="002508DF">
              <w:rPr>
                <w:b/>
                <w:bCs/>
                <w:sz w:val="20"/>
                <w:szCs w:val="20"/>
                <w:lang w:val="en-US"/>
              </w:rPr>
              <w:t>Roles</w:t>
            </w:r>
          </w:p>
        </w:tc>
      </w:tr>
      <w:tr w:rsidR="00381FE3" w:rsidRPr="002508DF" w14:paraId="672E2E72" w14:textId="77777777" w:rsidTr="00B94E56">
        <w:tc>
          <w:tcPr>
            <w:tcW w:w="1838" w:type="dxa"/>
          </w:tcPr>
          <w:p w14:paraId="39940A31" w14:textId="3EC04C6A" w:rsidR="00381FE3" w:rsidRPr="002508DF" w:rsidRDefault="001D0FEB" w:rsidP="007E1EBC">
            <w:pPr>
              <w:rPr>
                <w:sz w:val="20"/>
                <w:szCs w:val="20"/>
                <w:lang w:val="en-US"/>
              </w:rPr>
            </w:pPr>
            <w:r w:rsidRPr="002508DF">
              <w:rPr>
                <w:sz w:val="20"/>
                <w:szCs w:val="20"/>
                <w:lang w:val="en-US"/>
              </w:rPr>
              <w:t>COMESA PIU</w:t>
            </w:r>
          </w:p>
        </w:tc>
        <w:tc>
          <w:tcPr>
            <w:tcW w:w="7224" w:type="dxa"/>
          </w:tcPr>
          <w:p w14:paraId="5E33396A" w14:textId="77777777" w:rsidR="0011744A" w:rsidRPr="002508DF" w:rsidRDefault="006204D8" w:rsidP="00B94E56">
            <w:pPr>
              <w:pStyle w:val="ListParagraph"/>
              <w:numPr>
                <w:ilvl w:val="0"/>
                <w:numId w:val="5"/>
              </w:numPr>
              <w:rPr>
                <w:sz w:val="20"/>
                <w:szCs w:val="20"/>
                <w:lang w:val="en-US"/>
              </w:rPr>
            </w:pPr>
            <w:r w:rsidRPr="002508DF">
              <w:rPr>
                <w:sz w:val="20"/>
                <w:szCs w:val="20"/>
                <w:lang w:val="en-US"/>
              </w:rPr>
              <w:t>Responsible for overall implementation</w:t>
            </w:r>
          </w:p>
          <w:p w14:paraId="45827D29" w14:textId="5BF25096" w:rsidR="006204D8" w:rsidRPr="002508DF" w:rsidRDefault="0011744A" w:rsidP="00B94E56">
            <w:pPr>
              <w:pStyle w:val="ListParagraph"/>
              <w:numPr>
                <w:ilvl w:val="0"/>
                <w:numId w:val="5"/>
              </w:numPr>
              <w:rPr>
                <w:sz w:val="20"/>
                <w:szCs w:val="20"/>
                <w:lang w:val="en-US"/>
              </w:rPr>
            </w:pPr>
            <w:r w:rsidRPr="002508DF">
              <w:rPr>
                <w:sz w:val="20"/>
                <w:szCs w:val="20"/>
                <w:lang w:val="en-US"/>
              </w:rPr>
              <w:t>Responsible to market and promote the program</w:t>
            </w:r>
            <w:r w:rsidR="006204D8" w:rsidRPr="002508DF">
              <w:rPr>
                <w:sz w:val="20"/>
                <w:szCs w:val="20"/>
                <w:lang w:val="en-US"/>
              </w:rPr>
              <w:t xml:space="preserve"> </w:t>
            </w:r>
          </w:p>
          <w:p w14:paraId="2D9DADCB" w14:textId="58C96780" w:rsidR="0081076D" w:rsidRDefault="0081076D" w:rsidP="00B94E56">
            <w:pPr>
              <w:pStyle w:val="ListParagraph"/>
              <w:numPr>
                <w:ilvl w:val="0"/>
                <w:numId w:val="5"/>
              </w:numPr>
              <w:rPr>
                <w:sz w:val="20"/>
                <w:szCs w:val="20"/>
                <w:lang w:val="en-US"/>
              </w:rPr>
            </w:pPr>
            <w:r w:rsidRPr="002508DF">
              <w:rPr>
                <w:sz w:val="20"/>
                <w:szCs w:val="20"/>
                <w:lang w:val="en-US"/>
              </w:rPr>
              <w:t xml:space="preserve">Contracting of </w:t>
            </w:r>
            <w:r w:rsidR="004575CE">
              <w:rPr>
                <w:sz w:val="20"/>
                <w:szCs w:val="20"/>
                <w:lang w:val="en-US"/>
              </w:rPr>
              <w:t>PPF</w:t>
            </w:r>
            <w:r w:rsidRPr="002508DF">
              <w:rPr>
                <w:sz w:val="20"/>
                <w:szCs w:val="20"/>
                <w:lang w:val="en-US"/>
              </w:rPr>
              <w:t xml:space="preserve"> manager </w:t>
            </w:r>
          </w:p>
          <w:p w14:paraId="3D021E90" w14:textId="733F8B41" w:rsidR="009573CA" w:rsidRPr="00745487" w:rsidRDefault="009573CA" w:rsidP="009573CA">
            <w:pPr>
              <w:pStyle w:val="ListParagraph"/>
              <w:numPr>
                <w:ilvl w:val="0"/>
                <w:numId w:val="5"/>
              </w:numPr>
              <w:rPr>
                <w:sz w:val="20"/>
                <w:szCs w:val="20"/>
                <w:lang w:val="en-US"/>
              </w:rPr>
            </w:pPr>
            <w:proofErr w:type="gramStart"/>
            <w:r w:rsidRPr="009573CA">
              <w:rPr>
                <w:sz w:val="20"/>
                <w:szCs w:val="20"/>
                <w:lang w:val="en-US"/>
              </w:rPr>
              <w:t>Contracting of</w:t>
            </w:r>
            <w:proofErr w:type="gramEnd"/>
            <w:r w:rsidRPr="009573CA">
              <w:rPr>
                <w:sz w:val="20"/>
                <w:szCs w:val="20"/>
                <w:lang w:val="en-US"/>
              </w:rPr>
              <w:t xml:space="preserve"> consulting firms (those producing publicly available resources and those making the roster of experts) </w:t>
            </w:r>
          </w:p>
          <w:p w14:paraId="7C144B71" w14:textId="77777777" w:rsidR="006204D8" w:rsidRPr="002508DF" w:rsidRDefault="006204D8" w:rsidP="00B94E56">
            <w:pPr>
              <w:pStyle w:val="ListParagraph"/>
              <w:numPr>
                <w:ilvl w:val="0"/>
                <w:numId w:val="5"/>
              </w:numPr>
              <w:rPr>
                <w:sz w:val="20"/>
                <w:szCs w:val="20"/>
                <w:lang w:val="en-US"/>
              </w:rPr>
            </w:pPr>
            <w:r w:rsidRPr="002508DF">
              <w:rPr>
                <w:sz w:val="20"/>
                <w:szCs w:val="20"/>
                <w:lang w:val="en-US"/>
              </w:rPr>
              <w:t>Contracting party with TA and TA grant recipients</w:t>
            </w:r>
          </w:p>
          <w:p w14:paraId="4D29827F" w14:textId="5B70C668" w:rsidR="0011744A" w:rsidRPr="002508DF" w:rsidRDefault="0011744A" w:rsidP="00B94E56">
            <w:pPr>
              <w:pStyle w:val="ListParagraph"/>
              <w:numPr>
                <w:ilvl w:val="0"/>
                <w:numId w:val="5"/>
              </w:numPr>
              <w:rPr>
                <w:sz w:val="20"/>
                <w:szCs w:val="20"/>
                <w:lang w:val="en-US"/>
              </w:rPr>
            </w:pPr>
            <w:proofErr w:type="gramStart"/>
            <w:r w:rsidRPr="002508DF">
              <w:rPr>
                <w:sz w:val="20"/>
                <w:szCs w:val="20"/>
                <w:lang w:val="en-US"/>
              </w:rPr>
              <w:t>Appoint</w:t>
            </w:r>
            <w:proofErr w:type="gramEnd"/>
            <w:r w:rsidRPr="002508DF">
              <w:rPr>
                <w:sz w:val="20"/>
                <w:szCs w:val="20"/>
                <w:lang w:val="en-US"/>
              </w:rPr>
              <w:t xml:space="preserve"> members of </w:t>
            </w:r>
            <w:proofErr w:type="gramStart"/>
            <w:r w:rsidRPr="002508DF">
              <w:rPr>
                <w:sz w:val="20"/>
                <w:szCs w:val="20"/>
                <w:lang w:val="en-US"/>
              </w:rPr>
              <w:t>selection</w:t>
            </w:r>
            <w:proofErr w:type="gramEnd"/>
            <w:r w:rsidRPr="002508DF">
              <w:rPr>
                <w:sz w:val="20"/>
                <w:szCs w:val="20"/>
                <w:lang w:val="en-US"/>
              </w:rPr>
              <w:t xml:space="preserve"> panel (from COMESA PIU, industry experts, and other stakeholders)</w:t>
            </w:r>
          </w:p>
          <w:p w14:paraId="2E0A66EE" w14:textId="54165151" w:rsidR="0081076D" w:rsidRPr="002508DF" w:rsidRDefault="0081076D" w:rsidP="00B94E56">
            <w:pPr>
              <w:pStyle w:val="ListParagraph"/>
              <w:numPr>
                <w:ilvl w:val="0"/>
                <w:numId w:val="5"/>
              </w:numPr>
              <w:rPr>
                <w:sz w:val="20"/>
                <w:szCs w:val="20"/>
                <w:lang w:val="en-US"/>
              </w:rPr>
            </w:pPr>
            <w:r w:rsidRPr="002508DF">
              <w:rPr>
                <w:sz w:val="20"/>
                <w:szCs w:val="20"/>
                <w:lang w:val="en-US"/>
              </w:rPr>
              <w:t xml:space="preserve">Processing grant and TA payments upon instruction of </w:t>
            </w:r>
            <w:r w:rsidR="004575CE">
              <w:rPr>
                <w:sz w:val="20"/>
                <w:szCs w:val="20"/>
                <w:lang w:val="en-US"/>
              </w:rPr>
              <w:t>PPF</w:t>
            </w:r>
            <w:r w:rsidRPr="002508DF">
              <w:rPr>
                <w:sz w:val="20"/>
                <w:szCs w:val="20"/>
                <w:lang w:val="en-US"/>
              </w:rPr>
              <w:t xml:space="preserve"> manager </w:t>
            </w:r>
          </w:p>
          <w:p w14:paraId="3CAB29EB" w14:textId="77777777" w:rsidR="00F74240" w:rsidRDefault="006204D8" w:rsidP="00B94E56">
            <w:pPr>
              <w:pStyle w:val="ListParagraph"/>
              <w:numPr>
                <w:ilvl w:val="0"/>
                <w:numId w:val="5"/>
              </w:numPr>
              <w:rPr>
                <w:sz w:val="20"/>
                <w:szCs w:val="20"/>
                <w:lang w:val="en-US"/>
              </w:rPr>
            </w:pPr>
            <w:r w:rsidRPr="002508DF">
              <w:rPr>
                <w:sz w:val="20"/>
                <w:szCs w:val="20"/>
                <w:lang w:val="en-US"/>
              </w:rPr>
              <w:t>Oversee and monitor TA facility manager</w:t>
            </w:r>
          </w:p>
          <w:p w14:paraId="3A28EDAA" w14:textId="77777777" w:rsidR="00A84834" w:rsidRPr="00A84834" w:rsidRDefault="00A84834" w:rsidP="00A84834">
            <w:pPr>
              <w:pStyle w:val="ListParagraph"/>
              <w:numPr>
                <w:ilvl w:val="0"/>
                <w:numId w:val="5"/>
              </w:numPr>
              <w:rPr>
                <w:sz w:val="20"/>
                <w:szCs w:val="20"/>
                <w:lang w:val="en-US"/>
              </w:rPr>
            </w:pPr>
            <w:r w:rsidRPr="00A84834">
              <w:rPr>
                <w:sz w:val="20"/>
                <w:szCs w:val="20"/>
                <w:lang w:val="en-US"/>
              </w:rPr>
              <w:t>Prepare guidelines and toolkits to support the PPF Manager to deliver its E&amp;S due diligence processes</w:t>
            </w:r>
          </w:p>
          <w:p w14:paraId="71F2CAFF" w14:textId="4F325957" w:rsidR="00A84834" w:rsidRDefault="00A84834" w:rsidP="00A84834">
            <w:pPr>
              <w:pStyle w:val="ListParagraph"/>
              <w:numPr>
                <w:ilvl w:val="0"/>
                <w:numId w:val="5"/>
              </w:numPr>
              <w:rPr>
                <w:sz w:val="20"/>
                <w:szCs w:val="20"/>
                <w:lang w:val="en-US"/>
              </w:rPr>
            </w:pPr>
            <w:r w:rsidRPr="00A84834">
              <w:rPr>
                <w:sz w:val="20"/>
                <w:szCs w:val="20"/>
                <w:lang w:val="en-US"/>
              </w:rPr>
              <w:t>Provide oversight and quality assurance of E&amp;S due diligence processes</w:t>
            </w:r>
          </w:p>
          <w:p w14:paraId="7F57D25D" w14:textId="34D02979" w:rsidR="001E0847" w:rsidRPr="002508DF" w:rsidRDefault="001E0847" w:rsidP="00B94E56">
            <w:pPr>
              <w:pStyle w:val="ListParagraph"/>
              <w:numPr>
                <w:ilvl w:val="0"/>
                <w:numId w:val="5"/>
              </w:numPr>
              <w:rPr>
                <w:sz w:val="20"/>
                <w:szCs w:val="20"/>
                <w:lang w:val="en-US"/>
              </w:rPr>
            </w:pPr>
            <w:r>
              <w:rPr>
                <w:sz w:val="20"/>
                <w:szCs w:val="20"/>
                <w:lang w:val="en-US"/>
              </w:rPr>
              <w:t>Manage strategic partnerships with other TA stakeholders</w:t>
            </w:r>
          </w:p>
        </w:tc>
      </w:tr>
      <w:tr w:rsidR="00381FE3" w:rsidRPr="002508DF" w14:paraId="11473036" w14:textId="77777777" w:rsidTr="00B94E56">
        <w:tc>
          <w:tcPr>
            <w:tcW w:w="1838" w:type="dxa"/>
          </w:tcPr>
          <w:p w14:paraId="71B8C492" w14:textId="5F4D3794" w:rsidR="00381FE3" w:rsidRPr="002508DF" w:rsidRDefault="003412EE" w:rsidP="007E1EBC">
            <w:pPr>
              <w:rPr>
                <w:sz w:val="20"/>
                <w:szCs w:val="20"/>
                <w:lang w:val="en-US"/>
              </w:rPr>
            </w:pPr>
            <w:r>
              <w:rPr>
                <w:sz w:val="20"/>
                <w:szCs w:val="20"/>
                <w:lang w:val="en-US"/>
              </w:rPr>
              <w:t>PPF</w:t>
            </w:r>
            <w:r w:rsidR="002E3D55" w:rsidRPr="002508DF">
              <w:rPr>
                <w:sz w:val="20"/>
                <w:szCs w:val="20"/>
                <w:lang w:val="en-US"/>
              </w:rPr>
              <w:t xml:space="preserve"> </w:t>
            </w:r>
            <w:r w:rsidR="00CC374A" w:rsidRPr="002508DF">
              <w:rPr>
                <w:sz w:val="20"/>
                <w:szCs w:val="20"/>
                <w:lang w:val="en-US"/>
              </w:rPr>
              <w:t>manager</w:t>
            </w:r>
          </w:p>
        </w:tc>
        <w:tc>
          <w:tcPr>
            <w:tcW w:w="7224" w:type="dxa"/>
          </w:tcPr>
          <w:p w14:paraId="6AB9AECE" w14:textId="5B030330" w:rsidR="0054117C" w:rsidRDefault="002E3D55" w:rsidP="00B94E56">
            <w:pPr>
              <w:pStyle w:val="ListParagraph"/>
              <w:numPr>
                <w:ilvl w:val="0"/>
                <w:numId w:val="5"/>
              </w:numPr>
              <w:rPr>
                <w:sz w:val="20"/>
                <w:szCs w:val="20"/>
                <w:lang w:val="en-US"/>
              </w:rPr>
            </w:pPr>
            <w:r w:rsidRPr="002508DF">
              <w:rPr>
                <w:sz w:val="20"/>
                <w:szCs w:val="20"/>
                <w:lang w:val="en-US"/>
              </w:rPr>
              <w:t xml:space="preserve">Finalize </w:t>
            </w:r>
            <w:r w:rsidR="0054117C" w:rsidRPr="002508DF">
              <w:rPr>
                <w:sz w:val="20"/>
                <w:szCs w:val="20"/>
                <w:lang w:val="en-US"/>
              </w:rPr>
              <w:t>operations manual</w:t>
            </w:r>
            <w:r w:rsidR="00704D4D" w:rsidRPr="002508DF">
              <w:rPr>
                <w:sz w:val="20"/>
                <w:szCs w:val="20"/>
                <w:lang w:val="en-US"/>
              </w:rPr>
              <w:t xml:space="preserve"> and related documentation </w:t>
            </w:r>
          </w:p>
          <w:p w14:paraId="6A63758C" w14:textId="14378511" w:rsidR="001764D0" w:rsidRPr="00745487" w:rsidRDefault="001764D0" w:rsidP="001764D0">
            <w:pPr>
              <w:pStyle w:val="ListParagraph"/>
              <w:numPr>
                <w:ilvl w:val="0"/>
                <w:numId w:val="5"/>
              </w:numPr>
              <w:rPr>
                <w:sz w:val="20"/>
                <w:szCs w:val="20"/>
                <w:lang w:val="en-US"/>
              </w:rPr>
            </w:pPr>
            <w:r w:rsidRPr="001764D0">
              <w:rPr>
                <w:sz w:val="20"/>
                <w:szCs w:val="20"/>
                <w:lang w:val="en-US"/>
              </w:rPr>
              <w:t xml:space="preserve">Support the PIU in the contracting and management of consultants (for publicly available resources and roster of experts), including support in (i) their competitive selection, (ii) drafting contracting arrangements, (iii) managing the contracts (deploying consultants, supervision, payment instructions). </w:t>
            </w:r>
          </w:p>
          <w:p w14:paraId="256AFDF3" w14:textId="3EC2812B" w:rsidR="0054117C" w:rsidRPr="002508DF" w:rsidRDefault="0054117C" w:rsidP="00B94E56">
            <w:pPr>
              <w:pStyle w:val="ListParagraph"/>
              <w:numPr>
                <w:ilvl w:val="0"/>
                <w:numId w:val="5"/>
              </w:numPr>
              <w:rPr>
                <w:sz w:val="20"/>
                <w:szCs w:val="20"/>
                <w:lang w:val="en-US"/>
              </w:rPr>
            </w:pPr>
            <w:r w:rsidRPr="002508DF">
              <w:rPr>
                <w:sz w:val="20"/>
                <w:szCs w:val="20"/>
                <w:lang w:val="en-US"/>
              </w:rPr>
              <w:t>Issue call for</w:t>
            </w:r>
            <w:r w:rsidR="006204D8" w:rsidRPr="002508DF">
              <w:rPr>
                <w:sz w:val="20"/>
                <w:szCs w:val="20"/>
                <w:lang w:val="en-US"/>
              </w:rPr>
              <w:t xml:space="preserve"> applications to TA and TA grants</w:t>
            </w:r>
            <w:r w:rsidRPr="002508DF">
              <w:rPr>
                <w:sz w:val="20"/>
                <w:szCs w:val="20"/>
                <w:lang w:val="en-US"/>
              </w:rPr>
              <w:t xml:space="preserve"> </w:t>
            </w:r>
          </w:p>
          <w:p w14:paraId="351606A2" w14:textId="1B41DC5B" w:rsidR="0054117C" w:rsidRPr="002508DF" w:rsidRDefault="006204D8" w:rsidP="00B94E56">
            <w:pPr>
              <w:pStyle w:val="ListParagraph"/>
              <w:numPr>
                <w:ilvl w:val="0"/>
                <w:numId w:val="5"/>
              </w:numPr>
              <w:rPr>
                <w:sz w:val="20"/>
                <w:szCs w:val="20"/>
                <w:lang w:val="en-US"/>
              </w:rPr>
            </w:pPr>
            <w:r w:rsidRPr="002508DF">
              <w:rPr>
                <w:sz w:val="20"/>
                <w:szCs w:val="20"/>
                <w:lang w:val="en-US"/>
              </w:rPr>
              <w:t xml:space="preserve">Pre-qualify and evaluate applications, including technical </w:t>
            </w:r>
            <w:r w:rsidR="00A84834">
              <w:rPr>
                <w:sz w:val="20"/>
                <w:szCs w:val="20"/>
                <w:lang w:val="en-US"/>
              </w:rPr>
              <w:t>,</w:t>
            </w:r>
            <w:r w:rsidR="00A84834" w:rsidRPr="002508DF">
              <w:rPr>
                <w:sz w:val="20"/>
                <w:szCs w:val="20"/>
                <w:lang w:val="en-US"/>
              </w:rPr>
              <w:t xml:space="preserve"> </w:t>
            </w:r>
            <w:r w:rsidRPr="002508DF">
              <w:rPr>
                <w:sz w:val="20"/>
                <w:szCs w:val="20"/>
                <w:lang w:val="en-US"/>
              </w:rPr>
              <w:t xml:space="preserve">financial </w:t>
            </w:r>
            <w:r w:rsidR="00A84834" w:rsidRPr="00A84834">
              <w:rPr>
                <w:sz w:val="20"/>
                <w:szCs w:val="20"/>
                <w:lang w:val="en-US"/>
              </w:rPr>
              <w:t xml:space="preserve">and environmental and social </w:t>
            </w:r>
            <w:r w:rsidRPr="002508DF">
              <w:rPr>
                <w:sz w:val="20"/>
                <w:szCs w:val="20"/>
                <w:lang w:val="en-US"/>
              </w:rPr>
              <w:t>due diligence on the applications under consideration</w:t>
            </w:r>
          </w:p>
          <w:p w14:paraId="4AE0D7AF" w14:textId="3CA91265" w:rsidR="006204D8" w:rsidRPr="002508DF" w:rsidRDefault="006204D8" w:rsidP="00B94E56">
            <w:pPr>
              <w:pStyle w:val="ListParagraph"/>
              <w:numPr>
                <w:ilvl w:val="0"/>
                <w:numId w:val="5"/>
              </w:numPr>
              <w:rPr>
                <w:sz w:val="20"/>
                <w:szCs w:val="20"/>
                <w:lang w:val="en-US"/>
              </w:rPr>
            </w:pPr>
            <w:r w:rsidRPr="002508DF">
              <w:rPr>
                <w:sz w:val="20"/>
                <w:szCs w:val="20"/>
                <w:lang w:val="en-US"/>
              </w:rPr>
              <w:t xml:space="preserve">Recommend selection of </w:t>
            </w:r>
            <w:r w:rsidR="0081076D" w:rsidRPr="002508DF">
              <w:rPr>
                <w:sz w:val="20"/>
                <w:szCs w:val="20"/>
                <w:lang w:val="en-US"/>
              </w:rPr>
              <w:t xml:space="preserve">applicants </w:t>
            </w:r>
            <w:r w:rsidRPr="002508DF">
              <w:rPr>
                <w:sz w:val="20"/>
                <w:szCs w:val="20"/>
                <w:lang w:val="en-US"/>
              </w:rPr>
              <w:t xml:space="preserve">to selection </w:t>
            </w:r>
            <w:r w:rsidR="0011744A" w:rsidRPr="002508DF">
              <w:rPr>
                <w:sz w:val="20"/>
                <w:szCs w:val="20"/>
                <w:lang w:val="en-US"/>
              </w:rPr>
              <w:t>committee</w:t>
            </w:r>
          </w:p>
          <w:p w14:paraId="245AB446" w14:textId="46C2B221" w:rsidR="004575CE" w:rsidRDefault="004575CE" w:rsidP="00B94E56">
            <w:pPr>
              <w:pStyle w:val="ListParagraph"/>
              <w:numPr>
                <w:ilvl w:val="0"/>
                <w:numId w:val="5"/>
              </w:numPr>
              <w:rPr>
                <w:sz w:val="20"/>
                <w:szCs w:val="20"/>
                <w:lang w:val="en-US"/>
              </w:rPr>
            </w:pPr>
            <w:r>
              <w:rPr>
                <w:sz w:val="20"/>
                <w:szCs w:val="20"/>
                <w:lang w:val="en-US"/>
              </w:rPr>
              <w:t>Facilitation of the Selection Committee sessions</w:t>
            </w:r>
          </w:p>
          <w:p w14:paraId="2AB6FF8B" w14:textId="4C81A318" w:rsidR="0081076D" w:rsidRPr="002508DF" w:rsidRDefault="0081076D" w:rsidP="00B94E56">
            <w:pPr>
              <w:pStyle w:val="ListParagraph"/>
              <w:numPr>
                <w:ilvl w:val="0"/>
                <w:numId w:val="5"/>
              </w:numPr>
              <w:rPr>
                <w:sz w:val="20"/>
                <w:szCs w:val="20"/>
                <w:lang w:val="en-US"/>
              </w:rPr>
            </w:pPr>
            <w:r w:rsidRPr="002508DF">
              <w:rPr>
                <w:sz w:val="20"/>
                <w:szCs w:val="20"/>
                <w:lang w:val="en-US"/>
              </w:rPr>
              <w:t>Assist the PIU with the contracting of TA and TA grant recipients</w:t>
            </w:r>
          </w:p>
          <w:p w14:paraId="591B7811" w14:textId="43BFA8AE" w:rsidR="0054117C" w:rsidRPr="002508DF" w:rsidRDefault="0054117C" w:rsidP="00B94E56">
            <w:pPr>
              <w:pStyle w:val="ListParagraph"/>
              <w:numPr>
                <w:ilvl w:val="0"/>
                <w:numId w:val="5"/>
              </w:numPr>
              <w:rPr>
                <w:sz w:val="20"/>
                <w:szCs w:val="20"/>
                <w:lang w:val="en-US"/>
              </w:rPr>
            </w:pPr>
            <w:r w:rsidRPr="002508DF">
              <w:rPr>
                <w:sz w:val="20"/>
                <w:szCs w:val="20"/>
                <w:lang w:val="en-US"/>
              </w:rPr>
              <w:t xml:space="preserve">Monitor </w:t>
            </w:r>
            <w:r w:rsidR="0081076D" w:rsidRPr="002508DF">
              <w:rPr>
                <w:sz w:val="20"/>
                <w:szCs w:val="20"/>
                <w:lang w:val="en-US"/>
              </w:rPr>
              <w:t xml:space="preserve">and report on </w:t>
            </w:r>
            <w:r w:rsidRPr="002508DF">
              <w:rPr>
                <w:sz w:val="20"/>
                <w:szCs w:val="20"/>
                <w:lang w:val="en-US"/>
              </w:rPr>
              <w:t>the progress of the program</w:t>
            </w:r>
            <w:r w:rsidR="0081076D" w:rsidRPr="002508DF">
              <w:rPr>
                <w:sz w:val="20"/>
                <w:szCs w:val="20"/>
                <w:lang w:val="en-US"/>
              </w:rPr>
              <w:t xml:space="preserve"> </w:t>
            </w:r>
          </w:p>
          <w:p w14:paraId="2266AAF2" w14:textId="77777777" w:rsidR="0054117C" w:rsidRPr="002508DF" w:rsidRDefault="0081076D" w:rsidP="00B94E56">
            <w:pPr>
              <w:pStyle w:val="ListParagraph"/>
              <w:numPr>
                <w:ilvl w:val="0"/>
                <w:numId w:val="5"/>
              </w:numPr>
              <w:rPr>
                <w:sz w:val="20"/>
                <w:szCs w:val="20"/>
                <w:lang w:val="en-US"/>
              </w:rPr>
            </w:pPr>
            <w:r w:rsidRPr="002508DF">
              <w:rPr>
                <w:sz w:val="20"/>
                <w:szCs w:val="20"/>
                <w:lang w:val="en-US"/>
              </w:rPr>
              <w:t>Prepare grant and TA disbursement instructions to the PIU</w:t>
            </w:r>
          </w:p>
          <w:p w14:paraId="2F54C842" w14:textId="77777777" w:rsidR="0081076D" w:rsidRPr="002508DF" w:rsidRDefault="0081076D" w:rsidP="00B94E56">
            <w:pPr>
              <w:pStyle w:val="ListParagraph"/>
              <w:numPr>
                <w:ilvl w:val="0"/>
                <w:numId w:val="5"/>
              </w:numPr>
              <w:rPr>
                <w:sz w:val="20"/>
                <w:szCs w:val="20"/>
                <w:lang w:val="en-US"/>
              </w:rPr>
            </w:pPr>
            <w:r w:rsidRPr="002508DF">
              <w:rPr>
                <w:sz w:val="20"/>
                <w:szCs w:val="20"/>
                <w:lang w:val="en-US"/>
              </w:rPr>
              <w:t xml:space="preserve">Set up and manage a web-based platform to manage application processes, contracting, monitoring and verification, disbursements, reporting, etc.  </w:t>
            </w:r>
          </w:p>
          <w:p w14:paraId="585A0A3A" w14:textId="48AF5A06" w:rsidR="00B94E56" w:rsidRPr="002508DF" w:rsidRDefault="00B94E56" w:rsidP="00B94E56">
            <w:pPr>
              <w:pStyle w:val="ListParagraph"/>
              <w:numPr>
                <w:ilvl w:val="0"/>
                <w:numId w:val="5"/>
              </w:numPr>
              <w:rPr>
                <w:sz w:val="20"/>
                <w:szCs w:val="20"/>
                <w:lang w:val="en-US"/>
              </w:rPr>
            </w:pPr>
            <w:r w:rsidRPr="002508DF">
              <w:rPr>
                <w:sz w:val="20"/>
                <w:szCs w:val="20"/>
                <w:lang w:val="en-US"/>
              </w:rPr>
              <w:t xml:space="preserve">Assist the PIU with the contracting of other services, such as </w:t>
            </w:r>
            <w:r w:rsidR="006A2512" w:rsidRPr="006A2512">
              <w:rPr>
                <w:sz w:val="20"/>
                <w:szCs w:val="20"/>
                <w:lang w:val="en-US"/>
              </w:rPr>
              <w:t xml:space="preserve">).the Independent Verification Agent for the </w:t>
            </w:r>
            <w:proofErr w:type="gramStart"/>
            <w:r w:rsidR="006A2512" w:rsidRPr="006A2512">
              <w:rPr>
                <w:sz w:val="20"/>
                <w:szCs w:val="20"/>
                <w:lang w:val="en-US"/>
              </w:rPr>
              <w:t>project.</w:t>
            </w:r>
            <w:r w:rsidR="007F19C6">
              <w:rPr>
                <w:sz w:val="20"/>
                <w:szCs w:val="20"/>
                <w:lang w:val="en-US"/>
              </w:rPr>
              <w:t>.</w:t>
            </w:r>
            <w:proofErr w:type="gramEnd"/>
          </w:p>
        </w:tc>
      </w:tr>
      <w:tr w:rsidR="001D0FEB" w:rsidRPr="002508DF" w14:paraId="6E5E188C" w14:textId="77777777" w:rsidTr="00B94E56">
        <w:tc>
          <w:tcPr>
            <w:tcW w:w="1838" w:type="dxa"/>
          </w:tcPr>
          <w:p w14:paraId="173BC2F5" w14:textId="154DBC4E" w:rsidR="001D0FEB" w:rsidRPr="002508DF" w:rsidRDefault="006204D8" w:rsidP="007E1EBC">
            <w:pPr>
              <w:rPr>
                <w:sz w:val="20"/>
                <w:szCs w:val="20"/>
                <w:lang w:val="en-US"/>
              </w:rPr>
            </w:pPr>
            <w:r w:rsidRPr="002508DF">
              <w:rPr>
                <w:sz w:val="20"/>
                <w:szCs w:val="20"/>
                <w:lang w:val="en-US"/>
              </w:rPr>
              <w:t xml:space="preserve">Selection </w:t>
            </w:r>
            <w:r w:rsidR="0011744A" w:rsidRPr="002508DF">
              <w:rPr>
                <w:sz w:val="20"/>
                <w:szCs w:val="20"/>
                <w:lang w:val="en-US"/>
              </w:rPr>
              <w:t>committee</w:t>
            </w:r>
          </w:p>
        </w:tc>
        <w:tc>
          <w:tcPr>
            <w:tcW w:w="7224" w:type="dxa"/>
          </w:tcPr>
          <w:p w14:paraId="6AB2F496" w14:textId="2E541D4D" w:rsidR="001D0FEB" w:rsidRPr="002508DF" w:rsidRDefault="0081076D" w:rsidP="00B94E56">
            <w:pPr>
              <w:pStyle w:val="ListParagraph"/>
              <w:numPr>
                <w:ilvl w:val="0"/>
                <w:numId w:val="5"/>
              </w:numPr>
              <w:rPr>
                <w:sz w:val="20"/>
                <w:szCs w:val="20"/>
                <w:lang w:val="en-US"/>
              </w:rPr>
            </w:pPr>
            <w:r w:rsidRPr="002508DF">
              <w:rPr>
                <w:sz w:val="20"/>
                <w:szCs w:val="20"/>
                <w:lang w:val="en-US"/>
              </w:rPr>
              <w:t xml:space="preserve">Responsible for final evaluation and selection of applicants based on recommendation of the </w:t>
            </w:r>
            <w:r w:rsidR="004575CE">
              <w:rPr>
                <w:sz w:val="20"/>
                <w:szCs w:val="20"/>
                <w:lang w:val="en-US"/>
              </w:rPr>
              <w:t>PPF</w:t>
            </w:r>
            <w:r w:rsidRPr="002508DF">
              <w:rPr>
                <w:sz w:val="20"/>
                <w:szCs w:val="20"/>
                <w:lang w:val="en-US"/>
              </w:rPr>
              <w:t xml:space="preserve"> manager</w:t>
            </w:r>
          </w:p>
        </w:tc>
      </w:tr>
      <w:tr w:rsidR="00381FE3" w:rsidRPr="002508DF" w14:paraId="48CFED26" w14:textId="77777777" w:rsidTr="00B94E56">
        <w:tc>
          <w:tcPr>
            <w:tcW w:w="1838" w:type="dxa"/>
          </w:tcPr>
          <w:p w14:paraId="731132A0" w14:textId="4813E97E" w:rsidR="00381FE3" w:rsidRPr="002508DF" w:rsidRDefault="001D0FEB" w:rsidP="007E1EBC">
            <w:pPr>
              <w:rPr>
                <w:sz w:val="20"/>
                <w:szCs w:val="20"/>
                <w:lang w:val="en-US"/>
              </w:rPr>
            </w:pPr>
            <w:r w:rsidRPr="002508DF">
              <w:rPr>
                <w:sz w:val="20"/>
                <w:szCs w:val="20"/>
                <w:lang w:val="en-US"/>
              </w:rPr>
              <w:t>TA recipients</w:t>
            </w:r>
          </w:p>
        </w:tc>
        <w:tc>
          <w:tcPr>
            <w:tcW w:w="7224" w:type="dxa"/>
          </w:tcPr>
          <w:p w14:paraId="51A53BD1" w14:textId="256978A3" w:rsidR="00381FE3" w:rsidRPr="002508DF" w:rsidRDefault="001E0847" w:rsidP="00B94E56">
            <w:pPr>
              <w:pStyle w:val="ListParagraph"/>
              <w:numPr>
                <w:ilvl w:val="0"/>
                <w:numId w:val="5"/>
              </w:numPr>
              <w:rPr>
                <w:sz w:val="20"/>
                <w:szCs w:val="20"/>
                <w:lang w:val="en-US"/>
              </w:rPr>
            </w:pPr>
            <w:r>
              <w:rPr>
                <w:sz w:val="20"/>
                <w:szCs w:val="20"/>
                <w:lang w:val="en-US"/>
              </w:rPr>
              <w:t>Prepare and submit a</w:t>
            </w:r>
            <w:r w:rsidR="00F74240" w:rsidRPr="002508DF">
              <w:rPr>
                <w:sz w:val="20"/>
                <w:szCs w:val="20"/>
                <w:lang w:val="en-US"/>
              </w:rPr>
              <w:t>pplications</w:t>
            </w:r>
            <w:r w:rsidR="0054117C" w:rsidRPr="002508DF">
              <w:rPr>
                <w:sz w:val="20"/>
                <w:szCs w:val="20"/>
                <w:lang w:val="en-US"/>
              </w:rPr>
              <w:t xml:space="preserve"> (qualification and proposal)</w:t>
            </w:r>
          </w:p>
          <w:p w14:paraId="7C6587EB" w14:textId="0DA1846D" w:rsidR="00F74240" w:rsidRPr="002508DF" w:rsidRDefault="00F74240" w:rsidP="00B94E56">
            <w:pPr>
              <w:pStyle w:val="ListParagraph"/>
              <w:numPr>
                <w:ilvl w:val="0"/>
                <w:numId w:val="5"/>
              </w:numPr>
              <w:rPr>
                <w:sz w:val="20"/>
                <w:szCs w:val="20"/>
                <w:lang w:val="en-US"/>
              </w:rPr>
            </w:pPr>
            <w:r w:rsidRPr="002508DF">
              <w:rPr>
                <w:sz w:val="20"/>
                <w:szCs w:val="20"/>
                <w:lang w:val="en-US"/>
              </w:rPr>
              <w:t>Implement TA</w:t>
            </w:r>
            <w:r w:rsidR="0081076D" w:rsidRPr="002508DF">
              <w:rPr>
                <w:sz w:val="20"/>
                <w:szCs w:val="20"/>
                <w:lang w:val="en-US"/>
              </w:rPr>
              <w:t xml:space="preserve"> activities</w:t>
            </w:r>
          </w:p>
          <w:p w14:paraId="75D00800" w14:textId="17587242" w:rsidR="00F74240" w:rsidRPr="002508DF" w:rsidRDefault="00F74240" w:rsidP="00B94E56">
            <w:pPr>
              <w:pStyle w:val="ListParagraph"/>
              <w:numPr>
                <w:ilvl w:val="0"/>
                <w:numId w:val="5"/>
              </w:numPr>
              <w:rPr>
                <w:sz w:val="20"/>
                <w:szCs w:val="20"/>
                <w:lang w:val="en-US"/>
              </w:rPr>
            </w:pPr>
            <w:r w:rsidRPr="002508DF">
              <w:rPr>
                <w:sz w:val="20"/>
                <w:szCs w:val="20"/>
                <w:lang w:val="en-US"/>
              </w:rPr>
              <w:t>Report on performance</w:t>
            </w:r>
          </w:p>
        </w:tc>
      </w:tr>
      <w:tr w:rsidR="00B94E56" w:rsidRPr="002508DF" w14:paraId="6A9A4A17" w14:textId="77777777" w:rsidTr="00B94E56">
        <w:tc>
          <w:tcPr>
            <w:tcW w:w="1838" w:type="dxa"/>
          </w:tcPr>
          <w:p w14:paraId="6807BE3F" w14:textId="6A8129E6" w:rsidR="00B94E56" w:rsidRPr="002508DF" w:rsidRDefault="00B94E56" w:rsidP="00B94E56">
            <w:pPr>
              <w:rPr>
                <w:sz w:val="20"/>
                <w:szCs w:val="20"/>
                <w:lang w:val="en-US"/>
              </w:rPr>
            </w:pPr>
            <w:r w:rsidRPr="002508DF">
              <w:rPr>
                <w:sz w:val="20"/>
                <w:szCs w:val="20"/>
                <w:lang w:val="en-US"/>
              </w:rPr>
              <w:t>World Bank</w:t>
            </w:r>
          </w:p>
        </w:tc>
        <w:tc>
          <w:tcPr>
            <w:tcW w:w="7224" w:type="dxa"/>
          </w:tcPr>
          <w:p w14:paraId="78315051" w14:textId="77777777" w:rsidR="00B94E56" w:rsidRPr="002508DF" w:rsidRDefault="00B94E56" w:rsidP="00B94E56">
            <w:pPr>
              <w:pStyle w:val="ListParagraph"/>
              <w:numPr>
                <w:ilvl w:val="0"/>
                <w:numId w:val="5"/>
              </w:numPr>
              <w:rPr>
                <w:sz w:val="20"/>
                <w:szCs w:val="20"/>
                <w:lang w:val="en-US"/>
              </w:rPr>
            </w:pPr>
            <w:r w:rsidRPr="002508DF">
              <w:rPr>
                <w:sz w:val="20"/>
                <w:szCs w:val="20"/>
                <w:lang w:val="en-US"/>
              </w:rPr>
              <w:t>Supervise implementation</w:t>
            </w:r>
          </w:p>
          <w:p w14:paraId="16E3259F" w14:textId="77777777" w:rsidR="00B94E56" w:rsidRDefault="00B94E56" w:rsidP="00B94E56">
            <w:pPr>
              <w:pStyle w:val="ListParagraph"/>
              <w:numPr>
                <w:ilvl w:val="0"/>
                <w:numId w:val="5"/>
              </w:numPr>
              <w:rPr>
                <w:sz w:val="20"/>
                <w:szCs w:val="20"/>
                <w:lang w:val="en-US"/>
              </w:rPr>
            </w:pPr>
            <w:r w:rsidRPr="002508DF">
              <w:rPr>
                <w:sz w:val="20"/>
                <w:szCs w:val="20"/>
                <w:lang w:val="en-US"/>
              </w:rPr>
              <w:t>Issue No Objection to changes in the operations manual</w:t>
            </w:r>
          </w:p>
          <w:p w14:paraId="6ADE039B" w14:textId="1E529605" w:rsidR="007F7E5C" w:rsidRPr="00745487" w:rsidRDefault="007F7E5C" w:rsidP="007F7E5C">
            <w:pPr>
              <w:pStyle w:val="ListParagraph"/>
              <w:numPr>
                <w:ilvl w:val="0"/>
                <w:numId w:val="5"/>
              </w:numPr>
              <w:rPr>
                <w:sz w:val="20"/>
                <w:szCs w:val="20"/>
                <w:lang w:val="en-US"/>
              </w:rPr>
            </w:pPr>
            <w:r w:rsidRPr="007F7E5C">
              <w:rPr>
                <w:sz w:val="20"/>
                <w:szCs w:val="20"/>
                <w:lang w:val="en-US"/>
              </w:rPr>
              <w:t>Issue No objection for the selection of the PPF manager</w:t>
            </w:r>
          </w:p>
          <w:p w14:paraId="0C1A5E24" w14:textId="2326F159" w:rsidR="00B94E56" w:rsidRPr="002508DF" w:rsidRDefault="00B94E56" w:rsidP="00B94E56">
            <w:pPr>
              <w:pStyle w:val="ListParagraph"/>
              <w:numPr>
                <w:ilvl w:val="0"/>
                <w:numId w:val="5"/>
              </w:numPr>
              <w:rPr>
                <w:sz w:val="20"/>
                <w:szCs w:val="20"/>
                <w:lang w:val="en-US"/>
              </w:rPr>
            </w:pPr>
            <w:r w:rsidRPr="002508DF">
              <w:rPr>
                <w:sz w:val="20"/>
                <w:szCs w:val="20"/>
                <w:lang w:val="en-US"/>
              </w:rPr>
              <w:t xml:space="preserve">Issue No Objection on the selection of TA and grant awards </w:t>
            </w:r>
          </w:p>
        </w:tc>
      </w:tr>
    </w:tbl>
    <w:p w14:paraId="1B97DCEA" w14:textId="77777777" w:rsidR="00381FE3" w:rsidRPr="002508DF" w:rsidRDefault="00381FE3" w:rsidP="007E1EBC">
      <w:pPr>
        <w:rPr>
          <w:lang w:val="en-US"/>
        </w:rPr>
      </w:pPr>
    </w:p>
    <w:p w14:paraId="2795FA58" w14:textId="5DA5AB9E" w:rsidR="003412EE" w:rsidRPr="003412EE" w:rsidRDefault="003412EE" w:rsidP="003412EE">
      <w:pPr>
        <w:rPr>
          <w:lang w:val="en-US"/>
        </w:rPr>
      </w:pPr>
      <w:r w:rsidRPr="003412EE">
        <w:rPr>
          <w:b/>
          <w:bCs/>
          <w:lang w:val="en-US"/>
        </w:rPr>
        <w:t xml:space="preserve">It is expected that the PPF </w:t>
      </w:r>
      <w:r w:rsidR="00097ECE">
        <w:rPr>
          <w:b/>
          <w:bCs/>
          <w:lang w:val="en-US"/>
        </w:rPr>
        <w:t xml:space="preserve">results in at least </w:t>
      </w:r>
      <w:r w:rsidR="00C5293D" w:rsidRPr="003412EE">
        <w:rPr>
          <w:b/>
          <w:bCs/>
          <w:lang w:val="en-US"/>
        </w:rPr>
        <w:t>30 companies reach</w:t>
      </w:r>
      <w:r w:rsidR="00097ECE">
        <w:rPr>
          <w:b/>
          <w:bCs/>
          <w:lang w:val="en-US"/>
        </w:rPr>
        <w:t>ing</w:t>
      </w:r>
      <w:r w:rsidR="00C5293D" w:rsidRPr="003412EE">
        <w:rPr>
          <w:b/>
          <w:bCs/>
          <w:lang w:val="en-US"/>
        </w:rPr>
        <w:t xml:space="preserve"> financial close</w:t>
      </w:r>
      <w:r>
        <w:rPr>
          <w:lang w:val="en-US"/>
        </w:rPr>
        <w:t xml:space="preserve">, </w:t>
      </w:r>
      <w:proofErr w:type="gramStart"/>
      <w:r>
        <w:rPr>
          <w:lang w:val="en-US"/>
        </w:rPr>
        <w:t>another</w:t>
      </w:r>
      <w:proofErr w:type="gramEnd"/>
      <w:r>
        <w:rPr>
          <w:lang w:val="en-US"/>
        </w:rPr>
        <w:t xml:space="preserve"> [20</w:t>
      </w:r>
      <w:r w:rsidR="009C3BB3" w:rsidRPr="003412EE">
        <w:rPr>
          <w:lang w:val="en-US"/>
        </w:rPr>
        <w:t>0</w:t>
      </w:r>
      <w:r w:rsidR="00C5293D" w:rsidRPr="003412EE">
        <w:rPr>
          <w:lang w:val="en-US"/>
        </w:rPr>
        <w:t xml:space="preserve">] companies </w:t>
      </w:r>
      <w:r w:rsidR="00097ECE">
        <w:rPr>
          <w:lang w:val="en-US"/>
        </w:rPr>
        <w:t xml:space="preserve">supported </w:t>
      </w:r>
      <w:r w:rsidR="00C5293D" w:rsidRPr="003412EE">
        <w:rPr>
          <w:lang w:val="en-US"/>
        </w:rPr>
        <w:t>in their journey to becoming investable / bankable</w:t>
      </w:r>
      <w:r>
        <w:rPr>
          <w:lang w:val="en-US"/>
        </w:rPr>
        <w:t>, impactful r</w:t>
      </w:r>
      <w:r w:rsidR="007E1EBC" w:rsidRPr="002508DF">
        <w:rPr>
          <w:lang w:val="en-US"/>
        </w:rPr>
        <w:t>esources available</w:t>
      </w:r>
      <w:r>
        <w:rPr>
          <w:lang w:val="en-US"/>
        </w:rPr>
        <w:t xml:space="preserve"> for the development of the DRE market, and government-agency and cross-border transactions</w:t>
      </w:r>
      <w:r w:rsidR="00097ECE">
        <w:rPr>
          <w:lang w:val="en-US"/>
        </w:rPr>
        <w:t xml:space="preserve"> supported</w:t>
      </w:r>
      <w:r>
        <w:rPr>
          <w:lang w:val="en-US"/>
        </w:rPr>
        <w:t xml:space="preserve">. </w:t>
      </w:r>
    </w:p>
    <w:p w14:paraId="2BFD7E65" w14:textId="463463E4" w:rsidR="004F5FB8" w:rsidRDefault="00B673E8" w:rsidP="00C5293D">
      <w:pPr>
        <w:pStyle w:val="Heading1"/>
        <w:rPr>
          <w:lang w:val="en-US"/>
        </w:rPr>
      </w:pPr>
      <w:r>
        <w:rPr>
          <w:lang w:val="en-US"/>
        </w:rPr>
        <w:t>Scope of work</w:t>
      </w:r>
      <w:r w:rsidR="002C2219">
        <w:rPr>
          <w:lang w:val="en-US"/>
        </w:rPr>
        <w:t xml:space="preserve"> of the PPF manager</w:t>
      </w:r>
    </w:p>
    <w:p w14:paraId="65DA033F" w14:textId="704C2134" w:rsidR="002C2219" w:rsidRPr="002C2219" w:rsidRDefault="002C2219" w:rsidP="002C2219">
      <w:pPr>
        <w:rPr>
          <w:lang w:val="en-US"/>
        </w:rPr>
      </w:pPr>
      <w:r w:rsidRPr="002C2219">
        <w:rPr>
          <w:lang w:val="en-US"/>
        </w:rPr>
        <w:t xml:space="preserve">The </w:t>
      </w:r>
      <w:r w:rsidR="004575CE">
        <w:rPr>
          <w:lang w:val="en-US"/>
        </w:rPr>
        <w:t>PPF manager</w:t>
      </w:r>
      <w:r w:rsidRPr="002C2219">
        <w:rPr>
          <w:lang w:val="en-US"/>
        </w:rPr>
        <w:t xml:space="preserve"> will be responsible for the successful operationalization, launch, and administration of the </w:t>
      </w:r>
      <w:r w:rsidR="004575CE">
        <w:rPr>
          <w:lang w:val="en-US"/>
        </w:rPr>
        <w:t>PPF</w:t>
      </w:r>
      <w:r w:rsidRPr="002C2219">
        <w:rPr>
          <w:lang w:val="en-US"/>
        </w:rPr>
        <w:t xml:space="preserve">. </w:t>
      </w:r>
    </w:p>
    <w:p w14:paraId="6842FD8E" w14:textId="77777777" w:rsidR="009A5217" w:rsidRDefault="002C2219" w:rsidP="002C2219">
      <w:pPr>
        <w:rPr>
          <w:u w:val="single"/>
          <w:lang w:val="en-US"/>
        </w:rPr>
      </w:pPr>
      <w:r w:rsidRPr="009A5217">
        <w:rPr>
          <w:u w:val="single"/>
          <w:lang w:val="en-US"/>
        </w:rPr>
        <w:t xml:space="preserve">Task 1 – </w:t>
      </w:r>
      <w:r w:rsidR="009A5217" w:rsidRPr="009A5217">
        <w:rPr>
          <w:u w:val="single"/>
          <w:lang w:val="en-US"/>
        </w:rPr>
        <w:t xml:space="preserve">Operationalization </w:t>
      </w:r>
    </w:p>
    <w:p w14:paraId="21036D23" w14:textId="126683EF" w:rsidR="009A5217" w:rsidRDefault="009A5217" w:rsidP="002C2219">
      <w:pPr>
        <w:rPr>
          <w:lang w:val="en-US"/>
        </w:rPr>
      </w:pPr>
      <w:r>
        <w:rPr>
          <w:lang w:val="en-US"/>
        </w:rPr>
        <w:t>The o</w:t>
      </w:r>
      <w:r w:rsidRPr="009A5217">
        <w:rPr>
          <w:lang w:val="en-US"/>
        </w:rPr>
        <w:t>perationalization</w:t>
      </w:r>
      <w:r>
        <w:rPr>
          <w:lang w:val="en-US"/>
        </w:rPr>
        <w:t xml:space="preserve"> of the fund includes all tasks necessary for the successful launch of the PPF. This includes:</w:t>
      </w:r>
    </w:p>
    <w:p w14:paraId="05D30411" w14:textId="624C15F5" w:rsidR="009A5217" w:rsidRDefault="00F81C73" w:rsidP="009A5217">
      <w:pPr>
        <w:pStyle w:val="ListParagraph"/>
        <w:numPr>
          <w:ilvl w:val="0"/>
          <w:numId w:val="11"/>
        </w:numPr>
        <w:rPr>
          <w:lang w:val="en-US"/>
        </w:rPr>
      </w:pPr>
      <w:r>
        <w:rPr>
          <w:lang w:val="en-US"/>
        </w:rPr>
        <w:t>Conduct a r</w:t>
      </w:r>
      <w:r w:rsidR="009A5217">
        <w:rPr>
          <w:lang w:val="en-US"/>
        </w:rPr>
        <w:t xml:space="preserve">apid market assessment to update and underpin the detailed design of the PPF, including service offering, eligibility criteria, partnerships with other TA stakeholders, etc. </w:t>
      </w:r>
    </w:p>
    <w:p w14:paraId="746DC3F4" w14:textId="7FC4D7B9" w:rsidR="00926954" w:rsidRDefault="005A37CC" w:rsidP="002C2219">
      <w:pPr>
        <w:pStyle w:val="ListParagraph"/>
        <w:numPr>
          <w:ilvl w:val="0"/>
          <w:numId w:val="11"/>
        </w:numPr>
        <w:rPr>
          <w:lang w:val="en-US"/>
        </w:rPr>
      </w:pPr>
      <w:r>
        <w:rPr>
          <w:lang w:val="en-US"/>
        </w:rPr>
        <w:t>Develop</w:t>
      </w:r>
      <w:r w:rsidR="00367467">
        <w:rPr>
          <w:lang w:val="en-US"/>
        </w:rPr>
        <w:t xml:space="preserve"> the</w:t>
      </w:r>
      <w:r w:rsidR="00926954">
        <w:rPr>
          <w:lang w:val="en-US"/>
        </w:rPr>
        <w:t xml:space="preserve"> </w:t>
      </w:r>
      <w:r w:rsidR="009A5217" w:rsidRPr="00926954">
        <w:rPr>
          <w:lang w:val="en-US"/>
        </w:rPr>
        <w:t>Operations Manual for the PPF</w:t>
      </w:r>
      <w:r w:rsidR="00926954" w:rsidRPr="00926954">
        <w:rPr>
          <w:lang w:val="en-US"/>
        </w:rPr>
        <w:t xml:space="preserve">, </w:t>
      </w:r>
      <w:r w:rsidR="00926954">
        <w:rPr>
          <w:lang w:val="en-US"/>
        </w:rPr>
        <w:t>c</w:t>
      </w:r>
      <w:r w:rsidR="009A5217" w:rsidRPr="00926954">
        <w:rPr>
          <w:lang w:val="en-US"/>
        </w:rPr>
        <w:t>rea</w:t>
      </w:r>
      <w:r w:rsidR="00926954">
        <w:rPr>
          <w:lang w:val="en-US"/>
        </w:rPr>
        <w:t>te</w:t>
      </w:r>
      <w:r w:rsidR="009A5217" w:rsidRPr="00926954">
        <w:rPr>
          <w:lang w:val="en-US"/>
        </w:rPr>
        <w:t xml:space="preserve"> templates </w:t>
      </w:r>
      <w:r w:rsidR="00926954">
        <w:rPr>
          <w:lang w:val="en-US"/>
        </w:rPr>
        <w:t xml:space="preserve">for </w:t>
      </w:r>
      <w:r w:rsidR="009A5217" w:rsidRPr="00926954">
        <w:rPr>
          <w:lang w:val="en-US"/>
        </w:rPr>
        <w:t xml:space="preserve">all </w:t>
      </w:r>
      <w:r w:rsidR="002C2219" w:rsidRPr="00926954">
        <w:rPr>
          <w:lang w:val="en-US"/>
        </w:rPr>
        <w:t xml:space="preserve">operating </w:t>
      </w:r>
      <w:r w:rsidR="009A5217" w:rsidRPr="00926954">
        <w:rPr>
          <w:lang w:val="en-US"/>
        </w:rPr>
        <w:t>documentation</w:t>
      </w:r>
      <w:r w:rsidR="002C2219" w:rsidRPr="00926954">
        <w:rPr>
          <w:lang w:val="en-US"/>
        </w:rPr>
        <w:t>,</w:t>
      </w:r>
      <w:r w:rsidR="00926954">
        <w:rPr>
          <w:lang w:val="en-US"/>
        </w:rPr>
        <w:t xml:space="preserve"> </w:t>
      </w:r>
      <w:r w:rsidR="002C2219" w:rsidRPr="00926954">
        <w:rPr>
          <w:lang w:val="en-US"/>
        </w:rPr>
        <w:t>define key processes and responsibilities, including:</w:t>
      </w:r>
    </w:p>
    <w:p w14:paraId="3952BCF0" w14:textId="77777777" w:rsidR="00926954" w:rsidRDefault="002C2219" w:rsidP="002C2219">
      <w:pPr>
        <w:pStyle w:val="ListParagraph"/>
        <w:numPr>
          <w:ilvl w:val="1"/>
          <w:numId w:val="11"/>
        </w:numPr>
        <w:rPr>
          <w:lang w:val="en-US"/>
        </w:rPr>
      </w:pPr>
      <w:r w:rsidRPr="00926954">
        <w:rPr>
          <w:lang w:val="en-US"/>
        </w:rPr>
        <w:t>Processes for sourcing applications, including nature and timing of any procurement events, stakeholder consultations, marketing activities, and other awareness-creating initiatives, as well as developing and maintaining ongoing industry and stakeholder relationships</w:t>
      </w:r>
    </w:p>
    <w:p w14:paraId="590430DC" w14:textId="0CD4FFDD" w:rsidR="00926954" w:rsidRDefault="002C2219" w:rsidP="002C2219">
      <w:pPr>
        <w:pStyle w:val="ListParagraph"/>
        <w:numPr>
          <w:ilvl w:val="1"/>
          <w:numId w:val="11"/>
        </w:numPr>
        <w:rPr>
          <w:lang w:val="en-US"/>
        </w:rPr>
      </w:pPr>
      <w:r w:rsidRPr="00926954">
        <w:rPr>
          <w:lang w:val="en-US"/>
        </w:rPr>
        <w:t xml:space="preserve">Processes and templates for applications, including RFPs, instructions to applicants, application templates, and document submission requirements </w:t>
      </w:r>
    </w:p>
    <w:p w14:paraId="450F487F" w14:textId="62687AAE" w:rsidR="00926954" w:rsidRDefault="00367467" w:rsidP="002C2219">
      <w:pPr>
        <w:pStyle w:val="ListParagraph"/>
        <w:numPr>
          <w:ilvl w:val="1"/>
          <w:numId w:val="11"/>
        </w:numPr>
        <w:rPr>
          <w:lang w:val="en-US"/>
        </w:rPr>
      </w:pPr>
      <w:r>
        <w:rPr>
          <w:lang w:val="en-US"/>
        </w:rPr>
        <w:t>P</w:t>
      </w:r>
      <w:r w:rsidR="002C2219" w:rsidRPr="00926954">
        <w:rPr>
          <w:lang w:val="en-US"/>
        </w:rPr>
        <w:t>rocesses and templates for application evaluation, including application assessment criteria and scoring methodology, allocation of tasks and responsibilities in evaluation process, and communication of results to applicants</w:t>
      </w:r>
    </w:p>
    <w:p w14:paraId="7FAE4C42" w14:textId="0E6C73D9" w:rsidR="00926954" w:rsidRDefault="002C2219" w:rsidP="002C2219">
      <w:pPr>
        <w:pStyle w:val="ListParagraph"/>
        <w:numPr>
          <w:ilvl w:val="1"/>
          <w:numId w:val="11"/>
        </w:numPr>
        <w:rPr>
          <w:lang w:val="en-US"/>
        </w:rPr>
      </w:pPr>
      <w:r w:rsidRPr="00926954">
        <w:rPr>
          <w:lang w:val="en-US"/>
        </w:rPr>
        <w:t xml:space="preserve">Processes and criteria for conducting due diligence on successful </w:t>
      </w:r>
      <w:r w:rsidR="00367467">
        <w:rPr>
          <w:lang w:val="en-US"/>
        </w:rPr>
        <w:t>applicants</w:t>
      </w:r>
    </w:p>
    <w:p w14:paraId="4606AC42" w14:textId="172DD0E1" w:rsidR="00926954" w:rsidRDefault="002C2219" w:rsidP="002C2219">
      <w:pPr>
        <w:pStyle w:val="ListParagraph"/>
        <w:numPr>
          <w:ilvl w:val="1"/>
          <w:numId w:val="11"/>
        </w:numPr>
        <w:rPr>
          <w:lang w:val="en-US"/>
        </w:rPr>
      </w:pPr>
      <w:r w:rsidRPr="00926954">
        <w:rPr>
          <w:lang w:val="en-US"/>
        </w:rPr>
        <w:t>Processes for addressing environmental and social safeguard matters</w:t>
      </w:r>
    </w:p>
    <w:p w14:paraId="2B8F30C7" w14:textId="03E22FAE" w:rsidR="00926954" w:rsidRDefault="002C2219" w:rsidP="002C2219">
      <w:pPr>
        <w:pStyle w:val="ListParagraph"/>
        <w:numPr>
          <w:ilvl w:val="1"/>
          <w:numId w:val="11"/>
        </w:numPr>
        <w:rPr>
          <w:lang w:val="en-US"/>
        </w:rPr>
      </w:pPr>
      <w:r w:rsidRPr="00926954">
        <w:rPr>
          <w:lang w:val="en-US"/>
        </w:rPr>
        <w:t>Processes for handling disputes under the project</w:t>
      </w:r>
    </w:p>
    <w:p w14:paraId="0775E75B" w14:textId="4C43FCBE" w:rsidR="00926954" w:rsidRDefault="00926954" w:rsidP="002C2219">
      <w:pPr>
        <w:pStyle w:val="ListParagraph"/>
        <w:numPr>
          <w:ilvl w:val="1"/>
          <w:numId w:val="11"/>
        </w:numPr>
        <w:rPr>
          <w:lang w:val="en-US"/>
        </w:rPr>
      </w:pPr>
      <w:r>
        <w:rPr>
          <w:lang w:val="en-US"/>
        </w:rPr>
        <w:t>Processes for contracting, mobilizing and remunerating consulting firms and individuals under the roster of experts</w:t>
      </w:r>
    </w:p>
    <w:p w14:paraId="3FA57A90" w14:textId="77777777" w:rsidR="00926954" w:rsidRDefault="002C2219" w:rsidP="002C2219">
      <w:pPr>
        <w:pStyle w:val="ListParagraph"/>
        <w:numPr>
          <w:ilvl w:val="1"/>
          <w:numId w:val="11"/>
        </w:numPr>
        <w:rPr>
          <w:lang w:val="en-US"/>
        </w:rPr>
      </w:pPr>
      <w:r w:rsidRPr="00926954">
        <w:rPr>
          <w:lang w:val="en-US"/>
        </w:rPr>
        <w:t xml:space="preserve">Processes for disbursement of funds, including further defining the milestones and contract or agreement templates </w:t>
      </w:r>
    </w:p>
    <w:p w14:paraId="3107BD81" w14:textId="174BD8CA" w:rsidR="00926954" w:rsidRDefault="002C2219" w:rsidP="002C2219">
      <w:pPr>
        <w:pStyle w:val="ListParagraph"/>
        <w:numPr>
          <w:ilvl w:val="1"/>
          <w:numId w:val="11"/>
        </w:numPr>
        <w:rPr>
          <w:lang w:val="en-US"/>
        </w:rPr>
      </w:pPr>
      <w:r w:rsidRPr="00926954">
        <w:rPr>
          <w:lang w:val="en-US"/>
        </w:rPr>
        <w:t xml:space="preserve">Policies to manage delinquency, non-compliance, and non-performance </w:t>
      </w:r>
    </w:p>
    <w:p w14:paraId="3230E583" w14:textId="10D3829C" w:rsidR="00926954" w:rsidRDefault="002C2219" w:rsidP="002C2219">
      <w:pPr>
        <w:pStyle w:val="ListParagraph"/>
        <w:numPr>
          <w:ilvl w:val="1"/>
          <w:numId w:val="11"/>
        </w:numPr>
        <w:rPr>
          <w:lang w:val="en-US"/>
        </w:rPr>
      </w:pPr>
      <w:r w:rsidRPr="00926954">
        <w:rPr>
          <w:lang w:val="en-US"/>
        </w:rPr>
        <w:t xml:space="preserve">Reporting arrangements to the </w:t>
      </w:r>
      <w:r w:rsidR="00367467">
        <w:rPr>
          <w:lang w:val="en-US"/>
        </w:rPr>
        <w:t>PIU</w:t>
      </w:r>
      <w:r w:rsidRPr="00926954">
        <w:rPr>
          <w:lang w:val="en-US"/>
        </w:rPr>
        <w:t xml:space="preserve"> and to the Selection </w:t>
      </w:r>
      <w:r w:rsidR="00367467">
        <w:rPr>
          <w:lang w:val="en-US"/>
        </w:rPr>
        <w:t>Committee</w:t>
      </w:r>
      <w:r w:rsidRPr="00926954">
        <w:rPr>
          <w:lang w:val="en-US"/>
        </w:rPr>
        <w:t>, including any necessary templates</w:t>
      </w:r>
    </w:p>
    <w:p w14:paraId="329BBA5D" w14:textId="5774D854" w:rsidR="002C2219" w:rsidRDefault="002C2219" w:rsidP="00367467">
      <w:pPr>
        <w:pStyle w:val="ListParagraph"/>
        <w:numPr>
          <w:ilvl w:val="1"/>
          <w:numId w:val="11"/>
        </w:numPr>
        <w:rPr>
          <w:lang w:val="en-US"/>
        </w:rPr>
      </w:pPr>
      <w:r w:rsidRPr="00926954">
        <w:rPr>
          <w:lang w:val="en-US"/>
        </w:rPr>
        <w:t>Annual account audit arrangements</w:t>
      </w:r>
    </w:p>
    <w:p w14:paraId="7F45BB3A" w14:textId="77777777" w:rsidR="00367467" w:rsidRDefault="00367467" w:rsidP="00367467">
      <w:pPr>
        <w:pStyle w:val="ListParagraph"/>
        <w:numPr>
          <w:ilvl w:val="0"/>
          <w:numId w:val="11"/>
        </w:numPr>
        <w:rPr>
          <w:lang w:val="en-US"/>
        </w:rPr>
      </w:pPr>
      <w:r w:rsidRPr="00367467">
        <w:rPr>
          <w:lang w:val="en-US"/>
        </w:rPr>
        <w:t>Provide recommendations on and support the COMESA PIU establish formal partnerships with strategic stakeholders in the DRE and clean cooking sectors, such as i</w:t>
      </w:r>
      <w:r w:rsidR="003412EE" w:rsidRPr="00367467">
        <w:rPr>
          <w:lang w:val="en-US"/>
        </w:rPr>
        <w:t>ndustry associations</w:t>
      </w:r>
      <w:r w:rsidRPr="00367467">
        <w:rPr>
          <w:lang w:val="en-US"/>
        </w:rPr>
        <w:t xml:space="preserve">, </w:t>
      </w:r>
      <w:r w:rsidR="003412EE" w:rsidRPr="00367467">
        <w:rPr>
          <w:lang w:val="en-US"/>
        </w:rPr>
        <w:t>TA providers</w:t>
      </w:r>
      <w:r w:rsidRPr="00367467">
        <w:rPr>
          <w:lang w:val="en-US"/>
        </w:rPr>
        <w:t>, i</w:t>
      </w:r>
      <w:r w:rsidR="003412EE" w:rsidRPr="00367467">
        <w:rPr>
          <w:lang w:val="en-US"/>
        </w:rPr>
        <w:t>nvestors and financiers</w:t>
      </w:r>
      <w:r>
        <w:rPr>
          <w:lang w:val="en-US"/>
        </w:rPr>
        <w:t>.</w:t>
      </w:r>
    </w:p>
    <w:p w14:paraId="4B80EF77" w14:textId="3B6A491C" w:rsidR="003412EE" w:rsidRPr="00367467" w:rsidRDefault="00367467" w:rsidP="002C2219">
      <w:pPr>
        <w:pStyle w:val="ListParagraph"/>
        <w:numPr>
          <w:ilvl w:val="0"/>
          <w:numId w:val="11"/>
        </w:numPr>
        <w:rPr>
          <w:lang w:val="en-US"/>
        </w:rPr>
      </w:pPr>
      <w:r w:rsidRPr="00367467">
        <w:rPr>
          <w:lang w:val="en-US"/>
        </w:rPr>
        <w:t xml:space="preserve">Provide recommendations on and support </w:t>
      </w:r>
      <w:proofErr w:type="gramStart"/>
      <w:r w:rsidRPr="00367467">
        <w:rPr>
          <w:lang w:val="en-US"/>
        </w:rPr>
        <w:t>the COMESA</w:t>
      </w:r>
      <w:proofErr w:type="gramEnd"/>
      <w:r w:rsidRPr="00367467">
        <w:rPr>
          <w:lang w:val="en-US"/>
        </w:rPr>
        <w:t xml:space="preserve"> PIU in engaging consulting firms and individuals for the r</w:t>
      </w:r>
      <w:r w:rsidR="003412EE" w:rsidRPr="00367467">
        <w:rPr>
          <w:lang w:val="en-US"/>
        </w:rPr>
        <w:t>oster of experts</w:t>
      </w:r>
      <w:r w:rsidRPr="00367467">
        <w:rPr>
          <w:lang w:val="en-US"/>
        </w:rPr>
        <w:t xml:space="preserve">. </w:t>
      </w:r>
      <w:r w:rsidR="003412EE" w:rsidRPr="00367467">
        <w:rPr>
          <w:lang w:val="en-US"/>
        </w:rPr>
        <w:t>The rost</w:t>
      </w:r>
      <w:r w:rsidR="00097ECE">
        <w:rPr>
          <w:lang w:val="en-US"/>
        </w:rPr>
        <w:t xml:space="preserve">er of experts </w:t>
      </w:r>
      <w:r w:rsidR="003412EE" w:rsidRPr="00367467">
        <w:rPr>
          <w:lang w:val="en-US"/>
        </w:rPr>
        <w:t xml:space="preserve">will include accounting firms, legal advisors, engineering firms, transaction advisors, E&amp;S consulting firms, and specialized DRE consultancies to provide a menu of specialized service packages. These companies will be engaged through a framework contract and be deployed based on demand.  </w:t>
      </w:r>
    </w:p>
    <w:p w14:paraId="6C4B7832" w14:textId="77777777" w:rsidR="00926954" w:rsidRDefault="00926954" w:rsidP="002C2219">
      <w:pPr>
        <w:rPr>
          <w:u w:val="single"/>
          <w:lang w:val="en-US"/>
        </w:rPr>
      </w:pPr>
      <w:r w:rsidRPr="00926954">
        <w:rPr>
          <w:u w:val="single"/>
          <w:lang w:val="en-US"/>
        </w:rPr>
        <w:t>Task 2 – Launch of the PPF</w:t>
      </w:r>
    </w:p>
    <w:p w14:paraId="28D6FB0C" w14:textId="570CB621" w:rsidR="00367467" w:rsidRPr="002C2219" w:rsidRDefault="00367467" w:rsidP="00367467">
      <w:pPr>
        <w:rPr>
          <w:lang w:val="en-US"/>
        </w:rPr>
      </w:pPr>
      <w:r w:rsidRPr="002C2219">
        <w:rPr>
          <w:lang w:val="en-US"/>
        </w:rPr>
        <w:t xml:space="preserve">Based on processes developed in the </w:t>
      </w:r>
      <w:r>
        <w:rPr>
          <w:lang w:val="en-US"/>
        </w:rPr>
        <w:t>Operations Manual</w:t>
      </w:r>
      <w:r w:rsidRPr="002C2219">
        <w:rPr>
          <w:lang w:val="en-US"/>
        </w:rPr>
        <w:t xml:space="preserve">, the </w:t>
      </w:r>
      <w:r w:rsidR="00294DE2">
        <w:rPr>
          <w:lang w:val="en-US"/>
        </w:rPr>
        <w:t>PPF manager</w:t>
      </w:r>
      <w:r w:rsidRPr="002C2219">
        <w:rPr>
          <w:lang w:val="en-US"/>
        </w:rPr>
        <w:t xml:space="preserve"> will prepare materials for </w:t>
      </w:r>
      <w:proofErr w:type="gramStart"/>
      <w:r w:rsidRPr="002C2219">
        <w:rPr>
          <w:lang w:val="en-US"/>
        </w:rPr>
        <w:t>launch</w:t>
      </w:r>
      <w:proofErr w:type="gramEnd"/>
      <w:r w:rsidRPr="002C2219">
        <w:rPr>
          <w:lang w:val="en-US"/>
        </w:rPr>
        <w:t xml:space="preserve"> of the </w:t>
      </w:r>
      <w:r w:rsidR="00294DE2">
        <w:rPr>
          <w:lang w:val="en-US"/>
        </w:rPr>
        <w:t>facility</w:t>
      </w:r>
      <w:r w:rsidRPr="002C2219">
        <w:rPr>
          <w:lang w:val="en-US"/>
        </w:rPr>
        <w:t xml:space="preserve">. To this end, the </w:t>
      </w:r>
      <w:r w:rsidR="00294DE2">
        <w:rPr>
          <w:lang w:val="en-US"/>
        </w:rPr>
        <w:t>PPF manager</w:t>
      </w:r>
      <w:r w:rsidR="00294DE2" w:rsidRPr="002C2219">
        <w:rPr>
          <w:lang w:val="en-US"/>
        </w:rPr>
        <w:t xml:space="preserve"> </w:t>
      </w:r>
      <w:r w:rsidRPr="002C2219">
        <w:rPr>
          <w:lang w:val="en-US"/>
        </w:rPr>
        <w:t>will perform the following activities:</w:t>
      </w:r>
    </w:p>
    <w:p w14:paraId="30B06A5B" w14:textId="3104537E" w:rsidR="00C22A6B" w:rsidRDefault="00367467" w:rsidP="00C22A6B">
      <w:pPr>
        <w:pStyle w:val="ListParagraph"/>
        <w:numPr>
          <w:ilvl w:val="0"/>
          <w:numId w:val="18"/>
        </w:numPr>
        <w:rPr>
          <w:lang w:val="en-US"/>
        </w:rPr>
      </w:pPr>
      <w:r w:rsidRPr="00C22A6B">
        <w:rPr>
          <w:lang w:val="en-US"/>
        </w:rPr>
        <w:t>Finalize documents</w:t>
      </w:r>
      <w:r w:rsidR="00097ECE">
        <w:rPr>
          <w:lang w:val="en-US"/>
        </w:rPr>
        <w:t xml:space="preserve"> related to the call for proposals</w:t>
      </w:r>
      <w:r w:rsidRPr="00C22A6B">
        <w:rPr>
          <w:lang w:val="en-US"/>
        </w:rPr>
        <w:t>, including RFPs, proposal templates, and scoring &amp; evaluation templates</w:t>
      </w:r>
      <w:r w:rsidR="00C22A6B" w:rsidRPr="00C22A6B">
        <w:rPr>
          <w:lang w:val="en-US"/>
        </w:rPr>
        <w:t xml:space="preserve">. </w:t>
      </w:r>
    </w:p>
    <w:p w14:paraId="2F9D844A" w14:textId="4BF284B2" w:rsidR="00294DE2" w:rsidRPr="00394F6F" w:rsidRDefault="00C22A6B" w:rsidP="00394F6F">
      <w:pPr>
        <w:pStyle w:val="ListParagraph"/>
        <w:numPr>
          <w:ilvl w:val="0"/>
          <w:numId w:val="18"/>
        </w:numPr>
        <w:rPr>
          <w:lang w:val="en-US"/>
        </w:rPr>
      </w:pPr>
      <w:r>
        <w:rPr>
          <w:lang w:val="en-US"/>
        </w:rPr>
        <w:t>Set</w:t>
      </w:r>
      <w:r w:rsidRPr="00C22A6B">
        <w:rPr>
          <w:lang w:val="en-US"/>
        </w:rPr>
        <w:t xml:space="preserve"> up and manage a web-based platform to manage application processes, contracting, monitoring and verification, disbursements, reporting, etc.  </w:t>
      </w:r>
    </w:p>
    <w:p w14:paraId="5E12D80A" w14:textId="0809DA4E" w:rsidR="00294DE2" w:rsidRDefault="00367467" w:rsidP="00367467">
      <w:pPr>
        <w:pStyle w:val="ListParagraph"/>
        <w:numPr>
          <w:ilvl w:val="0"/>
          <w:numId w:val="11"/>
        </w:numPr>
        <w:rPr>
          <w:lang w:val="en-US"/>
        </w:rPr>
      </w:pPr>
      <w:r w:rsidRPr="00294DE2">
        <w:rPr>
          <w:lang w:val="en-US"/>
        </w:rPr>
        <w:t xml:space="preserve">Generate industry awareness for </w:t>
      </w:r>
      <w:r w:rsidR="00294DE2">
        <w:rPr>
          <w:lang w:val="en-US"/>
        </w:rPr>
        <w:t>the PPF</w:t>
      </w:r>
      <w:r w:rsidRPr="00294DE2">
        <w:rPr>
          <w:lang w:val="en-US"/>
        </w:rPr>
        <w:t xml:space="preserve"> among </w:t>
      </w:r>
      <w:r w:rsidR="00294DE2">
        <w:rPr>
          <w:lang w:val="en-US"/>
        </w:rPr>
        <w:t>DRE companies (off-grid solar, mini-grids, P</w:t>
      </w:r>
      <w:r w:rsidR="00097ECE">
        <w:rPr>
          <w:lang w:val="en-US"/>
        </w:rPr>
        <w:t>roductive Use of Renewable Energy (P</w:t>
      </w:r>
      <w:r w:rsidR="00294DE2">
        <w:rPr>
          <w:lang w:val="en-US"/>
        </w:rPr>
        <w:t>URE</w:t>
      </w:r>
      <w:r w:rsidR="00097ECE">
        <w:rPr>
          <w:lang w:val="en-US"/>
        </w:rPr>
        <w:t>)</w:t>
      </w:r>
      <w:r w:rsidR="00294DE2">
        <w:rPr>
          <w:lang w:val="en-US"/>
        </w:rPr>
        <w:t>, clean cooking)</w:t>
      </w:r>
      <w:r w:rsidRPr="00294DE2">
        <w:rPr>
          <w:lang w:val="en-US"/>
        </w:rPr>
        <w:t xml:space="preserve"> and other stakeholders through </w:t>
      </w:r>
      <w:r w:rsidR="00097ECE">
        <w:rPr>
          <w:lang w:val="en-US"/>
        </w:rPr>
        <w:t>events</w:t>
      </w:r>
      <w:r w:rsidRPr="00294DE2">
        <w:rPr>
          <w:lang w:val="en-US"/>
        </w:rPr>
        <w:t xml:space="preserve">, bilateral conversations, use of in-house marketing and communications resources, etc., ensuring an inclusive application process </w:t>
      </w:r>
    </w:p>
    <w:p w14:paraId="1B646B96" w14:textId="6120EC7D" w:rsidR="00367467" w:rsidRPr="00294DE2" w:rsidRDefault="00367467" w:rsidP="00367467">
      <w:pPr>
        <w:pStyle w:val="ListParagraph"/>
        <w:numPr>
          <w:ilvl w:val="0"/>
          <w:numId w:val="11"/>
        </w:numPr>
        <w:rPr>
          <w:lang w:val="en-US"/>
        </w:rPr>
      </w:pPr>
      <w:r w:rsidRPr="00294DE2">
        <w:rPr>
          <w:lang w:val="en-US"/>
        </w:rPr>
        <w:t xml:space="preserve">Set application window and communicate timeline and application requirements to </w:t>
      </w:r>
      <w:r w:rsidR="00294DE2">
        <w:rPr>
          <w:lang w:val="en-US"/>
        </w:rPr>
        <w:t>potential applicants</w:t>
      </w:r>
    </w:p>
    <w:p w14:paraId="57AB551B" w14:textId="024B8607" w:rsidR="00367467" w:rsidRPr="00367467" w:rsidRDefault="00294DE2" w:rsidP="002C2219">
      <w:pPr>
        <w:rPr>
          <w:lang w:val="en-US"/>
        </w:rPr>
      </w:pPr>
      <w:r>
        <w:rPr>
          <w:lang w:val="en-US"/>
        </w:rPr>
        <w:t xml:space="preserve">These activities are expected to be repeated as needed while the PPF solicits proposals. </w:t>
      </w:r>
    </w:p>
    <w:p w14:paraId="4369B6AE" w14:textId="7D0891E9" w:rsidR="00926954" w:rsidRDefault="002C2219" w:rsidP="002C2219">
      <w:pPr>
        <w:rPr>
          <w:u w:val="single"/>
          <w:lang w:val="en-US"/>
        </w:rPr>
      </w:pPr>
      <w:r w:rsidRPr="00926954">
        <w:rPr>
          <w:u w:val="single"/>
          <w:lang w:val="en-US"/>
        </w:rPr>
        <w:t xml:space="preserve">Task </w:t>
      </w:r>
      <w:r w:rsidR="00926954" w:rsidRPr="00926954">
        <w:rPr>
          <w:u w:val="single"/>
          <w:lang w:val="en-US"/>
        </w:rPr>
        <w:t>3</w:t>
      </w:r>
      <w:r w:rsidRPr="00926954">
        <w:rPr>
          <w:u w:val="single"/>
          <w:lang w:val="en-US"/>
        </w:rPr>
        <w:t xml:space="preserve"> – </w:t>
      </w:r>
      <w:r w:rsidR="00926954" w:rsidRPr="00926954">
        <w:rPr>
          <w:u w:val="single"/>
          <w:lang w:val="en-US"/>
        </w:rPr>
        <w:t>Administration of services and grants of the PPF</w:t>
      </w:r>
    </w:p>
    <w:p w14:paraId="0A0B828F" w14:textId="3EFB4ADA" w:rsidR="00294DE2" w:rsidRDefault="00294DE2" w:rsidP="00294DE2">
      <w:pPr>
        <w:rPr>
          <w:lang w:val="en-US"/>
        </w:rPr>
      </w:pPr>
      <w:r>
        <w:rPr>
          <w:lang w:val="en-US"/>
        </w:rPr>
        <w:t>The PPF manager</w:t>
      </w:r>
      <w:r w:rsidRPr="002C2219">
        <w:rPr>
          <w:lang w:val="en-US"/>
        </w:rPr>
        <w:t xml:space="preserve"> will perform day-to-day management of </w:t>
      </w:r>
      <w:r>
        <w:rPr>
          <w:lang w:val="en-US"/>
        </w:rPr>
        <w:t>the different services of the PPF</w:t>
      </w:r>
      <w:r w:rsidRPr="002C2219">
        <w:rPr>
          <w:lang w:val="en-US"/>
        </w:rPr>
        <w:t>, including:</w:t>
      </w:r>
    </w:p>
    <w:p w14:paraId="28880154" w14:textId="77777777" w:rsidR="00294DE2" w:rsidRDefault="00294DE2" w:rsidP="00294DE2">
      <w:pPr>
        <w:pStyle w:val="ListParagraph"/>
        <w:numPr>
          <w:ilvl w:val="0"/>
          <w:numId w:val="14"/>
        </w:numPr>
        <w:rPr>
          <w:lang w:val="en-US"/>
        </w:rPr>
      </w:pPr>
      <w:r w:rsidRPr="00294DE2">
        <w:rPr>
          <w:lang w:val="en-US"/>
        </w:rPr>
        <w:t xml:space="preserve">Review and evaluate incoming applications and select pre-qualified </w:t>
      </w:r>
      <w:r>
        <w:rPr>
          <w:lang w:val="en-US"/>
        </w:rPr>
        <w:t xml:space="preserve">DRE companies and other stakeholders </w:t>
      </w:r>
      <w:r w:rsidRPr="00294DE2">
        <w:rPr>
          <w:lang w:val="en-US"/>
        </w:rPr>
        <w:t xml:space="preserve">meeting the basic eligibility criteria for </w:t>
      </w:r>
      <w:r>
        <w:rPr>
          <w:lang w:val="en-US"/>
        </w:rPr>
        <w:t>the PPF.</w:t>
      </w:r>
    </w:p>
    <w:p w14:paraId="05809879" w14:textId="77777777" w:rsidR="00294DE2" w:rsidRDefault="00294DE2" w:rsidP="00294DE2">
      <w:pPr>
        <w:pStyle w:val="ListParagraph"/>
        <w:numPr>
          <w:ilvl w:val="0"/>
          <w:numId w:val="14"/>
        </w:numPr>
        <w:rPr>
          <w:lang w:val="en-US"/>
        </w:rPr>
      </w:pPr>
      <w:r w:rsidRPr="00294DE2">
        <w:rPr>
          <w:lang w:val="en-US"/>
        </w:rPr>
        <w:t xml:space="preserve">Recommend to the Selection </w:t>
      </w:r>
      <w:r>
        <w:rPr>
          <w:lang w:val="en-US"/>
        </w:rPr>
        <w:t>Committee</w:t>
      </w:r>
      <w:r w:rsidRPr="00294DE2">
        <w:rPr>
          <w:lang w:val="en-US"/>
        </w:rPr>
        <w:t xml:space="preserve"> candidates that meet the prequalification criteria for the </w:t>
      </w:r>
      <w:r>
        <w:rPr>
          <w:lang w:val="en-US"/>
        </w:rPr>
        <w:t>different services of the PPF (whether TA or grants)</w:t>
      </w:r>
      <w:r w:rsidRPr="00294DE2">
        <w:rPr>
          <w:lang w:val="en-US"/>
        </w:rPr>
        <w:t xml:space="preserve"> to be further evaluated by the Selection </w:t>
      </w:r>
      <w:r>
        <w:rPr>
          <w:lang w:val="en-US"/>
        </w:rPr>
        <w:t>Committee</w:t>
      </w:r>
      <w:r w:rsidRPr="00294DE2">
        <w:rPr>
          <w:lang w:val="en-US"/>
        </w:rPr>
        <w:t xml:space="preserve">. </w:t>
      </w:r>
    </w:p>
    <w:p w14:paraId="5969502C" w14:textId="77777777" w:rsidR="00294DE2" w:rsidRDefault="00294DE2" w:rsidP="00294DE2">
      <w:pPr>
        <w:pStyle w:val="ListParagraph"/>
        <w:numPr>
          <w:ilvl w:val="0"/>
          <w:numId w:val="14"/>
        </w:numPr>
        <w:rPr>
          <w:lang w:val="en-US"/>
        </w:rPr>
      </w:pPr>
      <w:r w:rsidRPr="00294DE2">
        <w:rPr>
          <w:lang w:val="en-US"/>
        </w:rPr>
        <w:t xml:space="preserve">Assist the Selection Committee in defining disbursement milestones, disbursements schedules, and data reporting requirements for each </w:t>
      </w:r>
      <w:r>
        <w:rPr>
          <w:lang w:val="en-US"/>
        </w:rPr>
        <w:t>TA and grant recipient</w:t>
      </w:r>
      <w:r w:rsidRPr="00294DE2">
        <w:rPr>
          <w:lang w:val="en-US"/>
        </w:rPr>
        <w:t>.</w:t>
      </w:r>
    </w:p>
    <w:p w14:paraId="5644EA6A" w14:textId="73B307FC" w:rsidR="00294DE2" w:rsidRDefault="00294DE2" w:rsidP="00294DE2">
      <w:pPr>
        <w:pStyle w:val="ListParagraph"/>
        <w:numPr>
          <w:ilvl w:val="0"/>
          <w:numId w:val="14"/>
        </w:numPr>
        <w:rPr>
          <w:lang w:val="en-US"/>
        </w:rPr>
      </w:pPr>
      <w:r w:rsidRPr="00294DE2">
        <w:rPr>
          <w:lang w:val="en-US"/>
        </w:rPr>
        <w:t xml:space="preserve">Provide feedback to </w:t>
      </w:r>
      <w:proofErr w:type="gramStart"/>
      <w:r w:rsidRPr="00294DE2">
        <w:rPr>
          <w:lang w:val="en-US"/>
        </w:rPr>
        <w:t>high</w:t>
      </w:r>
      <w:r w:rsidR="007C4B7C">
        <w:rPr>
          <w:lang w:val="en-US"/>
        </w:rPr>
        <w:t>-</w:t>
      </w:r>
      <w:r w:rsidRPr="00294DE2">
        <w:rPr>
          <w:lang w:val="en-US"/>
        </w:rPr>
        <w:t>potential</w:t>
      </w:r>
      <w:proofErr w:type="gramEnd"/>
      <w:r w:rsidRPr="00294DE2">
        <w:rPr>
          <w:lang w:val="en-US"/>
        </w:rPr>
        <w:t xml:space="preserve"> but unsuccessful applicants on issues related to proposal</w:t>
      </w:r>
    </w:p>
    <w:p w14:paraId="271A2B8D" w14:textId="17734F36" w:rsidR="00294DE2" w:rsidRDefault="00294DE2" w:rsidP="00294DE2">
      <w:pPr>
        <w:pStyle w:val="ListParagraph"/>
        <w:numPr>
          <w:ilvl w:val="0"/>
          <w:numId w:val="14"/>
        </w:numPr>
        <w:rPr>
          <w:lang w:val="en-US"/>
        </w:rPr>
      </w:pPr>
      <w:r w:rsidRPr="00294DE2">
        <w:rPr>
          <w:lang w:val="en-US"/>
        </w:rPr>
        <w:t>Make recommendations to the PIU on changes to the PPF structure as needed</w:t>
      </w:r>
      <w:r w:rsidR="00C22A6B">
        <w:rPr>
          <w:lang w:val="en-US"/>
        </w:rPr>
        <w:t xml:space="preserve"> for the improvement of performance an</w:t>
      </w:r>
      <w:r w:rsidR="007C4B7C">
        <w:rPr>
          <w:lang w:val="en-US"/>
        </w:rPr>
        <w:t>d</w:t>
      </w:r>
      <w:r w:rsidR="00C22A6B">
        <w:rPr>
          <w:lang w:val="en-US"/>
        </w:rPr>
        <w:t xml:space="preserve"> impact of the PPF</w:t>
      </w:r>
    </w:p>
    <w:p w14:paraId="5723C2DA" w14:textId="77777777" w:rsidR="00C465F6" w:rsidRDefault="00294DE2" w:rsidP="00294DE2">
      <w:pPr>
        <w:pStyle w:val="ListParagraph"/>
        <w:numPr>
          <w:ilvl w:val="0"/>
          <w:numId w:val="14"/>
        </w:numPr>
        <w:rPr>
          <w:lang w:val="en-US"/>
        </w:rPr>
      </w:pPr>
      <w:r w:rsidRPr="00294DE2">
        <w:rPr>
          <w:lang w:val="en-US"/>
        </w:rPr>
        <w:t xml:space="preserve">Repeat activities above </w:t>
      </w:r>
      <w:r w:rsidR="00C465F6">
        <w:rPr>
          <w:lang w:val="en-US"/>
        </w:rPr>
        <w:t>for as long as the PPF is soliciting proposals</w:t>
      </w:r>
    </w:p>
    <w:p w14:paraId="68F50D5C" w14:textId="77777777" w:rsidR="00C465F6" w:rsidRDefault="00294DE2" w:rsidP="00294DE2">
      <w:pPr>
        <w:pStyle w:val="ListParagraph"/>
        <w:numPr>
          <w:ilvl w:val="0"/>
          <w:numId w:val="14"/>
        </w:numPr>
        <w:rPr>
          <w:lang w:val="en-US"/>
        </w:rPr>
      </w:pPr>
      <w:r w:rsidRPr="00C465F6">
        <w:rPr>
          <w:lang w:val="en-US"/>
        </w:rPr>
        <w:t>Tracking performance and milestones (through interim reports)</w:t>
      </w:r>
    </w:p>
    <w:p w14:paraId="4F402EB4" w14:textId="77777777" w:rsidR="00C465F6" w:rsidRDefault="00294DE2" w:rsidP="00294DE2">
      <w:pPr>
        <w:pStyle w:val="ListParagraph"/>
        <w:numPr>
          <w:ilvl w:val="0"/>
          <w:numId w:val="14"/>
        </w:numPr>
        <w:rPr>
          <w:lang w:val="en-US"/>
        </w:rPr>
      </w:pPr>
      <w:r w:rsidRPr="00C465F6">
        <w:rPr>
          <w:lang w:val="en-US"/>
        </w:rPr>
        <w:t xml:space="preserve">Ongoing monitoring of </w:t>
      </w:r>
      <w:r w:rsidR="00C465F6">
        <w:rPr>
          <w:lang w:val="en-US"/>
        </w:rPr>
        <w:t>TA recipient</w:t>
      </w:r>
      <w:r w:rsidRPr="00C465F6">
        <w:rPr>
          <w:lang w:val="en-US"/>
        </w:rPr>
        <w:t xml:space="preserve"> performance and initiation of non-performance protocols </w:t>
      </w:r>
      <w:proofErr w:type="gramStart"/>
      <w:r w:rsidRPr="00C465F6">
        <w:rPr>
          <w:lang w:val="en-US"/>
        </w:rPr>
        <w:t>where</w:t>
      </w:r>
      <w:proofErr w:type="gramEnd"/>
      <w:r w:rsidRPr="00C465F6">
        <w:rPr>
          <w:lang w:val="en-US"/>
        </w:rPr>
        <w:t xml:space="preserve"> necessary </w:t>
      </w:r>
    </w:p>
    <w:p w14:paraId="3B3163D9" w14:textId="77777777" w:rsidR="00C465F6" w:rsidRDefault="00294DE2" w:rsidP="00294DE2">
      <w:pPr>
        <w:pStyle w:val="ListParagraph"/>
        <w:numPr>
          <w:ilvl w:val="0"/>
          <w:numId w:val="14"/>
        </w:numPr>
        <w:rPr>
          <w:lang w:val="en-US"/>
        </w:rPr>
      </w:pPr>
      <w:r w:rsidRPr="00C465F6">
        <w:rPr>
          <w:lang w:val="en-US"/>
        </w:rPr>
        <w:t>Aggregating and managing</w:t>
      </w:r>
      <w:r w:rsidR="00C465F6">
        <w:rPr>
          <w:lang w:val="en-US"/>
        </w:rPr>
        <w:t xml:space="preserve"> </w:t>
      </w:r>
      <w:r w:rsidRPr="00C465F6">
        <w:rPr>
          <w:lang w:val="en-US"/>
        </w:rPr>
        <w:t>data</w:t>
      </w:r>
      <w:r w:rsidR="00C465F6">
        <w:rPr>
          <w:lang w:val="en-US"/>
        </w:rPr>
        <w:t xml:space="preserve"> from TA recipients</w:t>
      </w:r>
    </w:p>
    <w:p w14:paraId="1B0EC3C3" w14:textId="77777777" w:rsidR="00C465F6" w:rsidRDefault="00294DE2" w:rsidP="002C2219">
      <w:pPr>
        <w:pStyle w:val="ListParagraph"/>
        <w:numPr>
          <w:ilvl w:val="0"/>
          <w:numId w:val="14"/>
        </w:numPr>
        <w:rPr>
          <w:lang w:val="en-US"/>
        </w:rPr>
      </w:pPr>
      <w:proofErr w:type="gramStart"/>
      <w:r w:rsidRPr="00C465F6">
        <w:rPr>
          <w:lang w:val="en-US"/>
        </w:rPr>
        <w:t>Submitting of</w:t>
      </w:r>
      <w:proofErr w:type="gramEnd"/>
      <w:r w:rsidRPr="00C465F6">
        <w:rPr>
          <w:lang w:val="en-US"/>
        </w:rPr>
        <w:t xml:space="preserve"> quarterly reports (in writing, and upon request, in person) to</w:t>
      </w:r>
      <w:r w:rsidR="00C465F6">
        <w:rPr>
          <w:lang w:val="en-US"/>
        </w:rPr>
        <w:t xml:space="preserve"> the PIU</w:t>
      </w:r>
    </w:p>
    <w:p w14:paraId="6E980748" w14:textId="4198AED7" w:rsidR="002C2219" w:rsidRPr="002C2219" w:rsidRDefault="00926954" w:rsidP="00926954">
      <w:pPr>
        <w:pStyle w:val="Heading1"/>
        <w:rPr>
          <w:lang w:val="en-US"/>
        </w:rPr>
      </w:pPr>
      <w:r>
        <w:rPr>
          <w:lang w:val="en-US"/>
        </w:rPr>
        <w:t>Governance and contracting arrangements</w:t>
      </w:r>
    </w:p>
    <w:p w14:paraId="165FA7C9" w14:textId="77777777" w:rsidR="00C465F6" w:rsidRDefault="00C465F6" w:rsidP="002C2219">
      <w:pPr>
        <w:rPr>
          <w:lang w:val="en-US"/>
        </w:rPr>
      </w:pPr>
      <w:r>
        <w:rPr>
          <w:lang w:val="en-US"/>
        </w:rPr>
        <w:t>The PPF manager contract</w:t>
      </w:r>
      <w:r w:rsidR="002C2219" w:rsidRPr="002C2219">
        <w:rPr>
          <w:lang w:val="en-US"/>
        </w:rPr>
        <w:t xml:space="preserve"> will be awarded to a single firm or group of firms. </w:t>
      </w:r>
      <w:r>
        <w:rPr>
          <w:lang w:val="en-US"/>
        </w:rPr>
        <w:t>Groups of f</w:t>
      </w:r>
      <w:r w:rsidR="002C2219" w:rsidRPr="002C2219">
        <w:rPr>
          <w:lang w:val="en-US"/>
        </w:rPr>
        <w:t xml:space="preserve">irms </w:t>
      </w:r>
      <w:r>
        <w:rPr>
          <w:lang w:val="en-US"/>
        </w:rPr>
        <w:t>can either bid as</w:t>
      </w:r>
      <w:r w:rsidR="002C2219" w:rsidRPr="002C2219">
        <w:rPr>
          <w:lang w:val="en-US"/>
        </w:rPr>
        <w:t>:</w:t>
      </w:r>
    </w:p>
    <w:p w14:paraId="4831F105" w14:textId="77777777" w:rsidR="00C465F6" w:rsidRDefault="002C2219" w:rsidP="002C2219">
      <w:pPr>
        <w:pStyle w:val="ListParagraph"/>
        <w:numPr>
          <w:ilvl w:val="0"/>
          <w:numId w:val="15"/>
        </w:numPr>
        <w:rPr>
          <w:lang w:val="en-US"/>
        </w:rPr>
      </w:pPr>
      <w:r w:rsidRPr="00C465F6">
        <w:rPr>
          <w:lang w:val="en-US"/>
        </w:rPr>
        <w:t xml:space="preserve">As a single prime consultant with any number of sub-consultants, whereby the </w:t>
      </w:r>
      <w:proofErr w:type="gramStart"/>
      <w:r w:rsidRPr="00C465F6">
        <w:rPr>
          <w:lang w:val="en-US"/>
        </w:rPr>
        <w:t>prime-consultant</w:t>
      </w:r>
      <w:proofErr w:type="gramEnd"/>
      <w:r w:rsidRPr="00C465F6">
        <w:rPr>
          <w:lang w:val="en-US"/>
        </w:rPr>
        <w:t xml:space="preserve"> </w:t>
      </w:r>
      <w:proofErr w:type="gramStart"/>
      <w:r w:rsidRPr="00C465F6">
        <w:rPr>
          <w:lang w:val="en-US"/>
        </w:rPr>
        <w:t>enters into</w:t>
      </w:r>
      <w:proofErr w:type="gramEnd"/>
      <w:r w:rsidRPr="00C465F6">
        <w:rPr>
          <w:lang w:val="en-US"/>
        </w:rPr>
        <w:t xml:space="preserve"> a contract with </w:t>
      </w:r>
      <w:proofErr w:type="gramStart"/>
      <w:r w:rsidR="00C465F6">
        <w:rPr>
          <w:lang w:val="en-US"/>
        </w:rPr>
        <w:t>the COMESA</w:t>
      </w:r>
      <w:proofErr w:type="gramEnd"/>
      <w:r w:rsidR="00C465F6">
        <w:rPr>
          <w:lang w:val="en-US"/>
        </w:rPr>
        <w:t xml:space="preserve"> PIU</w:t>
      </w:r>
      <w:r w:rsidRPr="00C465F6">
        <w:rPr>
          <w:lang w:val="en-US"/>
        </w:rPr>
        <w:t xml:space="preserve">, assumes legal responsibility for all undertakings, and subcontracts independently </w:t>
      </w:r>
      <w:proofErr w:type="gramStart"/>
      <w:r w:rsidRPr="00C465F6">
        <w:rPr>
          <w:lang w:val="en-US"/>
        </w:rPr>
        <w:t>to</w:t>
      </w:r>
      <w:proofErr w:type="gramEnd"/>
      <w:r w:rsidRPr="00C465F6">
        <w:rPr>
          <w:lang w:val="en-US"/>
        </w:rPr>
        <w:t xml:space="preserve"> any number of partnering firms. </w:t>
      </w:r>
    </w:p>
    <w:p w14:paraId="3D2AF275" w14:textId="1606B3F2" w:rsidR="002C2219" w:rsidRPr="00C465F6" w:rsidRDefault="002C2219" w:rsidP="002C2219">
      <w:pPr>
        <w:pStyle w:val="ListParagraph"/>
        <w:numPr>
          <w:ilvl w:val="0"/>
          <w:numId w:val="15"/>
        </w:numPr>
        <w:rPr>
          <w:lang w:val="en-US"/>
        </w:rPr>
      </w:pPr>
      <w:r w:rsidRPr="00C465F6">
        <w:rPr>
          <w:lang w:val="en-US"/>
        </w:rPr>
        <w:t xml:space="preserve">As a Joint Venture, whereby partnering firms enter into a joint legal agreement with </w:t>
      </w:r>
      <w:r w:rsidR="00C465F6">
        <w:rPr>
          <w:lang w:val="en-US"/>
        </w:rPr>
        <w:t>the COMESA PIU</w:t>
      </w:r>
      <w:r w:rsidRPr="00C465F6">
        <w:rPr>
          <w:lang w:val="en-US"/>
        </w:rPr>
        <w:t xml:space="preserve"> and both assume legal liability. Note that no more than two partnering firms can bid as a Joint Venture. </w:t>
      </w:r>
    </w:p>
    <w:p w14:paraId="047153AB" w14:textId="72E7A9F6" w:rsidR="002C2219" w:rsidRPr="002C2219" w:rsidRDefault="002C2219" w:rsidP="002C2219">
      <w:pPr>
        <w:rPr>
          <w:lang w:val="en-US"/>
        </w:rPr>
      </w:pPr>
      <w:r w:rsidRPr="002C2219">
        <w:rPr>
          <w:lang w:val="en-US"/>
        </w:rPr>
        <w:t xml:space="preserve">The </w:t>
      </w:r>
      <w:r w:rsidR="00C465F6">
        <w:rPr>
          <w:lang w:val="en-US"/>
        </w:rPr>
        <w:t>PPF manager</w:t>
      </w:r>
      <w:r w:rsidRPr="002C2219">
        <w:rPr>
          <w:lang w:val="en-US"/>
        </w:rPr>
        <w:t xml:space="preserve"> will be selected and contracted by </w:t>
      </w:r>
      <w:proofErr w:type="gramStart"/>
      <w:r w:rsidRPr="002C2219">
        <w:rPr>
          <w:lang w:val="en-US"/>
        </w:rPr>
        <w:t xml:space="preserve">the </w:t>
      </w:r>
      <w:r w:rsidR="00C465F6">
        <w:rPr>
          <w:lang w:val="en-US"/>
        </w:rPr>
        <w:t>COMESA</w:t>
      </w:r>
      <w:proofErr w:type="gramEnd"/>
      <w:r w:rsidR="00C465F6">
        <w:rPr>
          <w:lang w:val="en-US"/>
        </w:rPr>
        <w:t xml:space="preserve"> PIU</w:t>
      </w:r>
      <w:r w:rsidRPr="002C2219">
        <w:rPr>
          <w:lang w:val="en-US"/>
        </w:rPr>
        <w:t>. The P</w:t>
      </w:r>
      <w:r w:rsidR="00C465F6">
        <w:rPr>
          <w:lang w:val="en-US"/>
        </w:rPr>
        <w:t>I</w:t>
      </w:r>
      <w:r w:rsidRPr="002C2219">
        <w:rPr>
          <w:lang w:val="en-US"/>
        </w:rPr>
        <w:t xml:space="preserve">U will make disbursements to the </w:t>
      </w:r>
      <w:r w:rsidR="00C465F6">
        <w:rPr>
          <w:lang w:val="en-US"/>
        </w:rPr>
        <w:t>successful applicants</w:t>
      </w:r>
      <w:r w:rsidRPr="002C2219">
        <w:rPr>
          <w:lang w:val="en-US"/>
        </w:rPr>
        <w:t xml:space="preserve"> directly from its account upon the final recommendation by </w:t>
      </w:r>
      <w:r w:rsidR="00C465F6">
        <w:rPr>
          <w:lang w:val="en-US"/>
        </w:rPr>
        <w:t>PPF manager</w:t>
      </w:r>
      <w:r w:rsidRPr="002C2219">
        <w:rPr>
          <w:lang w:val="en-US"/>
        </w:rPr>
        <w:t xml:space="preserve"> and the Selection </w:t>
      </w:r>
      <w:r w:rsidR="00C465F6">
        <w:rPr>
          <w:lang w:val="en-US"/>
        </w:rPr>
        <w:t>Committee</w:t>
      </w:r>
      <w:r w:rsidRPr="002C2219">
        <w:rPr>
          <w:lang w:val="en-US"/>
        </w:rPr>
        <w:t>.</w:t>
      </w:r>
    </w:p>
    <w:p w14:paraId="3A6FAA9A" w14:textId="3084B878" w:rsidR="002C2219" w:rsidRPr="00C465F6" w:rsidRDefault="00926954" w:rsidP="002C2219">
      <w:pPr>
        <w:pStyle w:val="Heading1"/>
        <w:rPr>
          <w:lang w:val="en-US"/>
        </w:rPr>
      </w:pPr>
      <w:r>
        <w:rPr>
          <w:lang w:val="en-US"/>
        </w:rPr>
        <w:t>PPF manager qualifications and selection criteria</w:t>
      </w:r>
    </w:p>
    <w:p w14:paraId="68F0B16E" w14:textId="6C84009C" w:rsidR="002C2219" w:rsidRPr="002C2219" w:rsidRDefault="002C2219" w:rsidP="002C2219">
      <w:pPr>
        <w:rPr>
          <w:lang w:val="en-US"/>
        </w:rPr>
      </w:pPr>
      <w:r w:rsidRPr="002C2219">
        <w:rPr>
          <w:lang w:val="en-US"/>
        </w:rPr>
        <w:t xml:space="preserve">The selected </w:t>
      </w:r>
      <w:r w:rsidR="00C465F6">
        <w:rPr>
          <w:lang w:val="en-US"/>
        </w:rPr>
        <w:t>PPF manager</w:t>
      </w:r>
      <w:r w:rsidRPr="002C2219">
        <w:rPr>
          <w:lang w:val="en-US"/>
        </w:rPr>
        <w:t xml:space="preserve"> will have a demonstrated track record of managing and structuring similar </w:t>
      </w:r>
      <w:r w:rsidR="00C465F6">
        <w:rPr>
          <w:lang w:val="en-US"/>
        </w:rPr>
        <w:t>facilities</w:t>
      </w:r>
      <w:r w:rsidRPr="002C2219">
        <w:rPr>
          <w:lang w:val="en-US"/>
        </w:rPr>
        <w:t xml:space="preserve"> in similar markets. Bidders should clearly demonstrate the following qualifications: </w:t>
      </w:r>
    </w:p>
    <w:p w14:paraId="74D3C0D8" w14:textId="21284EA1" w:rsidR="002C2219" w:rsidRPr="00C22A6B" w:rsidRDefault="002C2219" w:rsidP="00C22A6B">
      <w:pPr>
        <w:pStyle w:val="ListParagraph"/>
        <w:numPr>
          <w:ilvl w:val="0"/>
          <w:numId w:val="16"/>
        </w:numPr>
        <w:rPr>
          <w:lang w:val="en-US"/>
        </w:rPr>
      </w:pPr>
      <w:r w:rsidRPr="00C22A6B">
        <w:rPr>
          <w:lang w:val="en-US"/>
        </w:rPr>
        <w:t xml:space="preserve">Experience in, and understanding of, the </w:t>
      </w:r>
      <w:r w:rsidR="00C22A6B" w:rsidRPr="00C22A6B">
        <w:rPr>
          <w:lang w:val="en-US"/>
        </w:rPr>
        <w:t>DRE</w:t>
      </w:r>
      <w:r w:rsidRPr="00C22A6B">
        <w:rPr>
          <w:lang w:val="en-US"/>
        </w:rPr>
        <w:t xml:space="preserve"> market in Sub Saharan Africa, including </w:t>
      </w:r>
      <w:r w:rsidR="00C22A6B" w:rsidRPr="00C22A6B">
        <w:rPr>
          <w:lang w:val="en-US"/>
        </w:rPr>
        <w:t>off-grid solar (</w:t>
      </w:r>
      <w:r w:rsidRPr="00C22A6B">
        <w:rPr>
          <w:lang w:val="en-US"/>
        </w:rPr>
        <w:t>pay-as-you-go sola</w:t>
      </w:r>
      <w:r w:rsidR="00C22A6B" w:rsidRPr="00C22A6B">
        <w:rPr>
          <w:lang w:val="en-US"/>
        </w:rPr>
        <w:t>r</w:t>
      </w:r>
      <w:r w:rsidRPr="00C22A6B">
        <w:rPr>
          <w:lang w:val="en-US"/>
        </w:rPr>
        <w:t>)</w:t>
      </w:r>
      <w:r w:rsidR="00C22A6B" w:rsidRPr="00C22A6B">
        <w:rPr>
          <w:lang w:val="en-US"/>
        </w:rPr>
        <w:t>, mini-grids, Productive Uses of Renewable Energy (PURE), and clean cooking.</w:t>
      </w:r>
    </w:p>
    <w:p w14:paraId="7A9A1048" w14:textId="59EB6718" w:rsidR="002C2219" w:rsidRPr="00C22A6B" w:rsidRDefault="002C2219" w:rsidP="00C22A6B">
      <w:pPr>
        <w:pStyle w:val="ListParagraph"/>
        <w:numPr>
          <w:ilvl w:val="0"/>
          <w:numId w:val="16"/>
        </w:numPr>
        <w:rPr>
          <w:lang w:val="en-US"/>
        </w:rPr>
      </w:pPr>
      <w:r w:rsidRPr="00C22A6B">
        <w:rPr>
          <w:lang w:val="en-US"/>
        </w:rPr>
        <w:t xml:space="preserve">A track record of structuring and managing </w:t>
      </w:r>
      <w:r w:rsidR="00C22A6B" w:rsidRPr="00C22A6B">
        <w:rPr>
          <w:lang w:val="en-US"/>
        </w:rPr>
        <w:t xml:space="preserve">TA and </w:t>
      </w:r>
      <w:r w:rsidRPr="00C22A6B">
        <w:rPr>
          <w:lang w:val="en-US"/>
        </w:rPr>
        <w:t>grant funds aimed at market stimulation</w:t>
      </w:r>
      <w:r w:rsidR="00C22A6B" w:rsidRPr="00C22A6B">
        <w:rPr>
          <w:lang w:val="en-US"/>
        </w:rPr>
        <w:t xml:space="preserve"> and investment readiness</w:t>
      </w:r>
      <w:r w:rsidRPr="00C22A6B">
        <w:rPr>
          <w:lang w:val="en-US"/>
        </w:rPr>
        <w:t xml:space="preserve">, ideally funds created by multilateral development banks and/or development finance institutions and/or bi-lateral development assistance agencies </w:t>
      </w:r>
    </w:p>
    <w:p w14:paraId="7EEFC083" w14:textId="215B4851" w:rsidR="002C2219" w:rsidRPr="00C22A6B" w:rsidRDefault="002C2219" w:rsidP="002C2219">
      <w:pPr>
        <w:pStyle w:val="ListParagraph"/>
        <w:numPr>
          <w:ilvl w:val="0"/>
          <w:numId w:val="16"/>
        </w:numPr>
        <w:rPr>
          <w:lang w:val="en-US"/>
        </w:rPr>
      </w:pPr>
      <w:r w:rsidRPr="00C22A6B">
        <w:rPr>
          <w:lang w:val="en-US"/>
        </w:rPr>
        <w:t>Experience managing reporting relationships with government stakeholders and large development finance organizations is highly desirable</w:t>
      </w:r>
    </w:p>
    <w:p w14:paraId="4EB96397" w14:textId="729AC2CF" w:rsidR="002C2219" w:rsidRPr="002C2219" w:rsidRDefault="00F81C73" w:rsidP="00F81C73">
      <w:pPr>
        <w:pStyle w:val="Heading1"/>
        <w:rPr>
          <w:lang w:val="en-US"/>
        </w:rPr>
      </w:pPr>
      <w:r>
        <w:rPr>
          <w:lang w:val="en-US"/>
        </w:rPr>
        <w:t xml:space="preserve">Compensation </w:t>
      </w:r>
      <w:r w:rsidR="00C22A6B">
        <w:rPr>
          <w:lang w:val="en-US"/>
        </w:rPr>
        <w:t>arrangements</w:t>
      </w:r>
      <w:r w:rsidR="002C2219" w:rsidRPr="002C2219">
        <w:rPr>
          <w:lang w:val="en-US"/>
        </w:rPr>
        <w:t xml:space="preserve"> </w:t>
      </w:r>
    </w:p>
    <w:p w14:paraId="46A70182" w14:textId="621F3ACA" w:rsidR="002C2219" w:rsidRPr="002C2219" w:rsidRDefault="002C2219" w:rsidP="002C2219">
      <w:pPr>
        <w:rPr>
          <w:lang w:val="en-US"/>
        </w:rPr>
      </w:pPr>
      <w:r w:rsidRPr="002C2219">
        <w:rPr>
          <w:lang w:val="en-US"/>
        </w:rPr>
        <w:t xml:space="preserve">Compensation </w:t>
      </w:r>
      <w:r w:rsidRPr="00131BBF">
        <w:rPr>
          <w:lang w:val="en-US"/>
        </w:rPr>
        <w:t xml:space="preserve">will be on </w:t>
      </w:r>
      <w:r w:rsidR="00C22A6B" w:rsidRPr="00131BBF">
        <w:rPr>
          <w:lang w:val="en-US"/>
        </w:rPr>
        <w:t xml:space="preserve">both a </w:t>
      </w:r>
      <w:r w:rsidRPr="00131BBF">
        <w:rPr>
          <w:lang w:val="en-US"/>
        </w:rPr>
        <w:t>fixed</w:t>
      </w:r>
      <w:r w:rsidR="00131BBF" w:rsidRPr="00131BBF">
        <w:rPr>
          <w:lang w:val="en-US"/>
        </w:rPr>
        <w:t>-</w:t>
      </w:r>
      <w:proofErr w:type="gramStart"/>
      <w:r w:rsidRPr="00131BBF">
        <w:rPr>
          <w:lang w:val="en-US"/>
        </w:rPr>
        <w:t>fee</w:t>
      </w:r>
      <w:proofErr w:type="gramEnd"/>
      <w:r w:rsidRPr="00131BBF">
        <w:rPr>
          <w:lang w:val="en-US"/>
        </w:rPr>
        <w:t xml:space="preserve"> </w:t>
      </w:r>
      <w:r w:rsidR="00C22A6B" w:rsidRPr="00131BBF">
        <w:rPr>
          <w:lang w:val="en-US"/>
        </w:rPr>
        <w:t xml:space="preserve">and variable </w:t>
      </w:r>
      <w:r w:rsidRPr="00131BBF">
        <w:rPr>
          <w:lang w:val="en-US"/>
        </w:rPr>
        <w:t>basis</w:t>
      </w:r>
      <w:r w:rsidR="00131BBF" w:rsidRPr="00131BBF">
        <w:rPr>
          <w:lang w:val="en-US"/>
        </w:rPr>
        <w:t xml:space="preserve">. Part of the fee (10-20%) will be linked to Key Performance Indicators (e.g. number of companies reaching financial close). The fee and fee structure </w:t>
      </w:r>
      <w:r w:rsidRPr="00131BBF">
        <w:rPr>
          <w:lang w:val="en-US"/>
        </w:rPr>
        <w:t xml:space="preserve">will be </w:t>
      </w:r>
      <w:r w:rsidR="00131BBF" w:rsidRPr="00131BBF">
        <w:rPr>
          <w:lang w:val="en-US"/>
        </w:rPr>
        <w:t>proposed</w:t>
      </w:r>
      <w:r w:rsidRPr="00131BBF">
        <w:rPr>
          <w:lang w:val="en-US"/>
        </w:rPr>
        <w:t xml:space="preserve"> by the </w:t>
      </w:r>
      <w:r w:rsidR="00C22A6B" w:rsidRPr="00131BBF">
        <w:rPr>
          <w:lang w:val="en-US"/>
        </w:rPr>
        <w:t>PPF manager</w:t>
      </w:r>
      <w:r w:rsidRPr="00131BBF">
        <w:rPr>
          <w:lang w:val="en-US"/>
        </w:rPr>
        <w:t xml:space="preserve"> in the financial </w:t>
      </w:r>
      <w:proofErr w:type="gramStart"/>
      <w:r w:rsidRPr="00131BBF">
        <w:rPr>
          <w:lang w:val="en-US"/>
        </w:rPr>
        <w:t>proposal, and</w:t>
      </w:r>
      <w:proofErr w:type="gramEnd"/>
      <w:r w:rsidRPr="00131BBF">
        <w:rPr>
          <w:lang w:val="en-US"/>
        </w:rPr>
        <w:t xml:space="preserve"> finalized during contracting with </w:t>
      </w:r>
      <w:r w:rsidR="00C22A6B" w:rsidRPr="00131BBF">
        <w:rPr>
          <w:lang w:val="en-US"/>
        </w:rPr>
        <w:t>PIU</w:t>
      </w:r>
      <w:r w:rsidRPr="00131BBF">
        <w:rPr>
          <w:lang w:val="en-US"/>
        </w:rPr>
        <w:t>. Payments will be</w:t>
      </w:r>
      <w:r w:rsidRPr="002C2219">
        <w:rPr>
          <w:lang w:val="en-US"/>
        </w:rPr>
        <w:t xml:space="preserve"> made on a quarterly basis pending submission of quarterly reports and approval by </w:t>
      </w:r>
      <w:proofErr w:type="gramStart"/>
      <w:r w:rsidRPr="002C2219">
        <w:rPr>
          <w:lang w:val="en-US"/>
        </w:rPr>
        <w:t xml:space="preserve">the </w:t>
      </w:r>
      <w:r w:rsidR="00C22A6B">
        <w:rPr>
          <w:lang w:val="en-US"/>
        </w:rPr>
        <w:t>COMESA</w:t>
      </w:r>
      <w:proofErr w:type="gramEnd"/>
      <w:r w:rsidR="00C22A6B">
        <w:rPr>
          <w:lang w:val="en-US"/>
        </w:rPr>
        <w:t xml:space="preserve"> PIU</w:t>
      </w:r>
      <w:r w:rsidRPr="002C2219">
        <w:rPr>
          <w:lang w:val="en-US"/>
        </w:rPr>
        <w:t xml:space="preserve">. The amount of each quarterly payment will be specified during contracting based on estimated </w:t>
      </w:r>
      <w:r w:rsidR="00C22A6B">
        <w:rPr>
          <w:lang w:val="en-US"/>
        </w:rPr>
        <w:t xml:space="preserve">PPF </w:t>
      </w:r>
      <w:r w:rsidR="00131BBF">
        <w:rPr>
          <w:lang w:val="en-US"/>
        </w:rPr>
        <w:t>manager’s</w:t>
      </w:r>
      <w:r w:rsidRPr="002C2219">
        <w:rPr>
          <w:lang w:val="en-US"/>
        </w:rPr>
        <w:t xml:space="preserve"> level of effort during that period</w:t>
      </w:r>
      <w:r w:rsidR="00131BBF">
        <w:rPr>
          <w:lang w:val="en-US"/>
        </w:rPr>
        <w:t xml:space="preserve"> and the timing linked to the adopted KPIs</w:t>
      </w:r>
      <w:r w:rsidRPr="002C2219">
        <w:rPr>
          <w:lang w:val="en-US"/>
        </w:rPr>
        <w:t>. Disbursement triggers will be finalized during contracting.</w:t>
      </w:r>
    </w:p>
    <w:p w14:paraId="4546537D" w14:textId="04A4A506" w:rsidR="002C2219" w:rsidRPr="002C2219" w:rsidRDefault="00F81C73" w:rsidP="00F81C73">
      <w:pPr>
        <w:pStyle w:val="Heading1"/>
        <w:rPr>
          <w:lang w:val="en-US"/>
        </w:rPr>
      </w:pPr>
      <w:r>
        <w:rPr>
          <w:lang w:val="en-US"/>
        </w:rPr>
        <w:t>Composition of the consultant’s team</w:t>
      </w:r>
      <w:r w:rsidR="002C2219" w:rsidRPr="002C2219">
        <w:rPr>
          <w:lang w:val="en-US"/>
        </w:rPr>
        <w:t xml:space="preserve"> </w:t>
      </w:r>
    </w:p>
    <w:p w14:paraId="6031CBAE" w14:textId="1AF9E9BD" w:rsidR="002C2219" w:rsidRPr="002C2219" w:rsidRDefault="002C2219" w:rsidP="002C2219">
      <w:pPr>
        <w:rPr>
          <w:lang w:val="en-US"/>
        </w:rPr>
      </w:pPr>
      <w:r w:rsidRPr="002C2219">
        <w:rPr>
          <w:lang w:val="en-US"/>
        </w:rPr>
        <w:t xml:space="preserve">The Consultant will be a firm or consortium of firms with a demonstrated track record of managing similar </w:t>
      </w:r>
      <w:r w:rsidR="00C22A6B">
        <w:rPr>
          <w:lang w:val="en-US"/>
        </w:rPr>
        <w:t xml:space="preserve">TA services and </w:t>
      </w:r>
      <w:r w:rsidRPr="002C2219">
        <w:rPr>
          <w:lang w:val="en-US"/>
        </w:rPr>
        <w:t xml:space="preserve">grants in similar markets. The firm should have successfully delivered at least two similar assignments within the last 10 years. Similarity </w:t>
      </w:r>
      <w:proofErr w:type="gramStart"/>
      <w:r w:rsidRPr="002C2219">
        <w:rPr>
          <w:lang w:val="en-US"/>
        </w:rPr>
        <w:t>being:</w:t>
      </w:r>
      <w:proofErr w:type="gramEnd"/>
      <w:r w:rsidRPr="002C2219">
        <w:rPr>
          <w:lang w:val="en-US"/>
        </w:rPr>
        <w:t xml:space="preserve"> size, complexity, technology, operational context and economic and social settings of the client country</w:t>
      </w:r>
      <w:r w:rsidR="00C22A6B">
        <w:rPr>
          <w:lang w:val="en-US"/>
        </w:rPr>
        <w:t xml:space="preserve"> </w:t>
      </w:r>
      <w:r w:rsidR="00A84834">
        <w:rPr>
          <w:lang w:val="en-US"/>
        </w:rPr>
        <w:t>or region</w:t>
      </w:r>
      <w:r w:rsidRPr="002C2219">
        <w:rPr>
          <w:lang w:val="en-US"/>
        </w:rPr>
        <w:t>.</w:t>
      </w:r>
    </w:p>
    <w:p w14:paraId="4B7B8919" w14:textId="5EA4FCC6" w:rsidR="002C2219" w:rsidRPr="002508DF" w:rsidRDefault="002C2219" w:rsidP="002C2219">
      <w:pPr>
        <w:rPr>
          <w:lang w:val="en-US"/>
        </w:rPr>
      </w:pPr>
      <w:r w:rsidRPr="002508DF">
        <w:rPr>
          <w:lang w:val="en-US"/>
        </w:rPr>
        <w:t xml:space="preserve">The </w:t>
      </w:r>
      <w:r w:rsidR="00C22A6B">
        <w:rPr>
          <w:lang w:val="en-US"/>
        </w:rPr>
        <w:t xml:space="preserve">PPF manager will </w:t>
      </w:r>
      <w:r w:rsidRPr="002508DF">
        <w:rPr>
          <w:lang w:val="en-US"/>
        </w:rPr>
        <w:t xml:space="preserve">provide an experienced team including a team leader, a project manager, finance expert, technical experts, </w:t>
      </w:r>
      <w:r w:rsidR="00A84834" w:rsidRPr="00A84834">
        <w:rPr>
          <w:lang w:val="en-US"/>
        </w:rPr>
        <w:t xml:space="preserve">environmental and social expert </w:t>
      </w:r>
      <w:r w:rsidR="00A84834">
        <w:rPr>
          <w:lang w:val="en-US"/>
        </w:rPr>
        <w:t>,</w:t>
      </w:r>
      <w:r w:rsidR="00394F6F">
        <w:rPr>
          <w:lang w:val="en-US"/>
        </w:rPr>
        <w:t xml:space="preserve">analyst, </w:t>
      </w:r>
      <w:r w:rsidR="005327B4">
        <w:rPr>
          <w:lang w:val="en-US"/>
        </w:rPr>
        <w:t xml:space="preserve">legal </w:t>
      </w:r>
      <w:r w:rsidR="00200D88">
        <w:rPr>
          <w:lang w:val="en-US"/>
        </w:rPr>
        <w:t xml:space="preserve">,carbon finance </w:t>
      </w:r>
      <w:r w:rsidRPr="002508DF">
        <w:rPr>
          <w:lang w:val="en-US"/>
        </w:rPr>
        <w:t xml:space="preserve">and other ad-hoc personnel as needed (accounting, gender and E&amp;S, </w:t>
      </w:r>
      <w:proofErr w:type="spellStart"/>
      <w:r w:rsidRPr="002508DF">
        <w:rPr>
          <w:lang w:val="en-US"/>
        </w:rPr>
        <w:t>etc</w:t>
      </w:r>
      <w:proofErr w:type="spellEnd"/>
      <w:r w:rsidRPr="002508DF">
        <w:rPr>
          <w:lang w:val="en-US"/>
        </w:rPr>
        <w:t xml:space="preserve">). </w:t>
      </w:r>
    </w:p>
    <w:p w14:paraId="60BEA873" w14:textId="24E9FC92" w:rsidR="002C2219" w:rsidRPr="00394F6F" w:rsidRDefault="00394F6F" w:rsidP="002C2219">
      <w:pPr>
        <w:rPr>
          <w:u w:val="single"/>
          <w:lang w:val="en-US"/>
        </w:rPr>
      </w:pPr>
      <w:r w:rsidRPr="00394F6F">
        <w:rPr>
          <w:u w:val="single"/>
          <w:lang w:val="en-US"/>
        </w:rPr>
        <w:t>Qualifications and requirements of the Key Experts:</w:t>
      </w:r>
    </w:p>
    <w:p w14:paraId="7CC75E1C" w14:textId="77777777" w:rsidR="002C2219" w:rsidRPr="00394F6F" w:rsidRDefault="002C2219" w:rsidP="002C2219">
      <w:pPr>
        <w:rPr>
          <w:i/>
          <w:iCs/>
          <w:lang w:val="en-US"/>
        </w:rPr>
      </w:pPr>
      <w:r w:rsidRPr="00394F6F">
        <w:rPr>
          <w:i/>
          <w:iCs/>
          <w:lang w:val="en-US"/>
        </w:rPr>
        <w:t>Team Leader</w:t>
      </w:r>
    </w:p>
    <w:p w14:paraId="23D9E09C" w14:textId="77777777" w:rsidR="00394F6F" w:rsidRDefault="002C2219" w:rsidP="002C2219">
      <w:pPr>
        <w:pStyle w:val="ListParagraph"/>
        <w:numPr>
          <w:ilvl w:val="0"/>
          <w:numId w:val="19"/>
        </w:numPr>
        <w:rPr>
          <w:lang w:val="en-US"/>
        </w:rPr>
      </w:pPr>
      <w:r w:rsidRPr="00394F6F">
        <w:rPr>
          <w:lang w:val="en-US"/>
        </w:rPr>
        <w:t>Advanced University Degree in finance, international development, management or related field.</w:t>
      </w:r>
    </w:p>
    <w:p w14:paraId="59569E38" w14:textId="77777777" w:rsidR="00394F6F" w:rsidRDefault="002C2219" w:rsidP="002C2219">
      <w:pPr>
        <w:pStyle w:val="ListParagraph"/>
        <w:numPr>
          <w:ilvl w:val="0"/>
          <w:numId w:val="19"/>
        </w:numPr>
        <w:rPr>
          <w:lang w:val="en-US"/>
        </w:rPr>
      </w:pPr>
      <w:r w:rsidRPr="00394F6F">
        <w:rPr>
          <w:lang w:val="en-US"/>
        </w:rPr>
        <w:t xml:space="preserve">A minimum of 10 years or more in managing large donor or government funded programs </w:t>
      </w:r>
    </w:p>
    <w:p w14:paraId="698D29B6" w14:textId="77777777" w:rsidR="00394F6F" w:rsidRDefault="002C2219" w:rsidP="002C2219">
      <w:pPr>
        <w:pStyle w:val="ListParagraph"/>
        <w:numPr>
          <w:ilvl w:val="0"/>
          <w:numId w:val="19"/>
        </w:numPr>
        <w:rPr>
          <w:lang w:val="en-US"/>
        </w:rPr>
      </w:pPr>
      <w:r w:rsidRPr="00394F6F">
        <w:rPr>
          <w:lang w:val="en-US"/>
        </w:rPr>
        <w:t>Demonstrated experience in managing funds</w:t>
      </w:r>
      <w:r w:rsidR="00394F6F">
        <w:rPr>
          <w:lang w:val="en-US"/>
        </w:rPr>
        <w:t xml:space="preserve"> or TA facilities</w:t>
      </w:r>
      <w:r w:rsidRPr="00394F6F">
        <w:rPr>
          <w:lang w:val="en-US"/>
        </w:rPr>
        <w:t xml:space="preserve">, preferably in promotion of </w:t>
      </w:r>
      <w:r w:rsidR="00394F6F">
        <w:rPr>
          <w:lang w:val="en-US"/>
        </w:rPr>
        <w:t>DRE</w:t>
      </w:r>
    </w:p>
    <w:p w14:paraId="3B30F502" w14:textId="77777777" w:rsidR="00394F6F" w:rsidRDefault="002C2219" w:rsidP="002C2219">
      <w:pPr>
        <w:pStyle w:val="ListParagraph"/>
        <w:numPr>
          <w:ilvl w:val="0"/>
          <w:numId w:val="19"/>
        </w:numPr>
        <w:rPr>
          <w:lang w:val="en-US"/>
        </w:rPr>
      </w:pPr>
      <w:r w:rsidRPr="00394F6F">
        <w:rPr>
          <w:lang w:val="en-US"/>
        </w:rPr>
        <w:t xml:space="preserve">Experience in, and understanding of, the </w:t>
      </w:r>
      <w:r w:rsidR="00394F6F" w:rsidRPr="00394F6F">
        <w:rPr>
          <w:lang w:val="en-US"/>
        </w:rPr>
        <w:t>DRE</w:t>
      </w:r>
      <w:r w:rsidRPr="00394F6F">
        <w:rPr>
          <w:lang w:val="en-US"/>
        </w:rPr>
        <w:t xml:space="preserve"> market in Sub Saharan Africa</w:t>
      </w:r>
    </w:p>
    <w:p w14:paraId="0116A279" w14:textId="77777777" w:rsidR="00394F6F" w:rsidRDefault="002C2219" w:rsidP="002C2219">
      <w:pPr>
        <w:pStyle w:val="ListParagraph"/>
        <w:numPr>
          <w:ilvl w:val="0"/>
          <w:numId w:val="19"/>
        </w:numPr>
        <w:rPr>
          <w:lang w:val="en-US"/>
        </w:rPr>
      </w:pPr>
      <w:r w:rsidRPr="00394F6F">
        <w:rPr>
          <w:lang w:val="en-US"/>
        </w:rPr>
        <w:t xml:space="preserve">A track record of structuring and managing </w:t>
      </w:r>
      <w:r w:rsidR="00394F6F">
        <w:rPr>
          <w:lang w:val="en-US"/>
        </w:rPr>
        <w:t xml:space="preserve">TA and grant facilities </w:t>
      </w:r>
      <w:r w:rsidRPr="00394F6F">
        <w:rPr>
          <w:lang w:val="en-US"/>
        </w:rPr>
        <w:t>aimed at market stimulation</w:t>
      </w:r>
      <w:r w:rsidR="00394F6F">
        <w:rPr>
          <w:lang w:val="en-US"/>
        </w:rPr>
        <w:t xml:space="preserve"> and investment readiness</w:t>
      </w:r>
      <w:r w:rsidRPr="00394F6F">
        <w:rPr>
          <w:lang w:val="en-US"/>
        </w:rPr>
        <w:t>, ideally funds created by multilateral development banks and/or development finance institutions and/or bi-lateral development assistance agencies or</w:t>
      </w:r>
    </w:p>
    <w:p w14:paraId="28214F7C" w14:textId="77777777" w:rsidR="00394F6F" w:rsidRDefault="002C2219" w:rsidP="002C2219">
      <w:pPr>
        <w:pStyle w:val="ListParagraph"/>
        <w:numPr>
          <w:ilvl w:val="0"/>
          <w:numId w:val="19"/>
        </w:numPr>
        <w:rPr>
          <w:lang w:val="en-US"/>
        </w:rPr>
      </w:pPr>
      <w:r w:rsidRPr="00394F6F">
        <w:rPr>
          <w:lang w:val="en-US"/>
        </w:rPr>
        <w:t xml:space="preserve">A track record of providing financing to </w:t>
      </w:r>
      <w:r w:rsidR="00394F6F">
        <w:rPr>
          <w:lang w:val="en-US"/>
        </w:rPr>
        <w:t>DRE</w:t>
      </w:r>
      <w:r w:rsidRPr="00394F6F">
        <w:rPr>
          <w:lang w:val="en-US"/>
        </w:rPr>
        <w:t xml:space="preserve"> businesses </w:t>
      </w:r>
    </w:p>
    <w:p w14:paraId="533378DC" w14:textId="20F31380" w:rsidR="002C2219" w:rsidRPr="00394F6F" w:rsidRDefault="002C2219" w:rsidP="002C2219">
      <w:pPr>
        <w:pStyle w:val="ListParagraph"/>
        <w:numPr>
          <w:ilvl w:val="0"/>
          <w:numId w:val="19"/>
        </w:numPr>
        <w:rPr>
          <w:lang w:val="en-US"/>
        </w:rPr>
      </w:pPr>
      <w:r w:rsidRPr="00394F6F">
        <w:rPr>
          <w:lang w:val="en-US"/>
        </w:rPr>
        <w:t>Experience managing reporting relationships with government stakeholders and large development finance organizations is highly desirable</w:t>
      </w:r>
    </w:p>
    <w:p w14:paraId="032855FE" w14:textId="77777777" w:rsidR="005A37CC" w:rsidRDefault="005A37CC" w:rsidP="002C2219">
      <w:pPr>
        <w:rPr>
          <w:i/>
          <w:iCs/>
          <w:lang w:val="en-US"/>
        </w:rPr>
      </w:pPr>
      <w:r>
        <w:rPr>
          <w:i/>
          <w:iCs/>
          <w:lang w:val="en-US"/>
        </w:rPr>
        <w:t>Project Manager</w:t>
      </w:r>
    </w:p>
    <w:p w14:paraId="55B9DD3F" w14:textId="77777777" w:rsidR="005A37CC" w:rsidRDefault="005A37CC" w:rsidP="005A37CC">
      <w:pPr>
        <w:pStyle w:val="ListParagraph"/>
        <w:numPr>
          <w:ilvl w:val="0"/>
          <w:numId w:val="19"/>
        </w:numPr>
        <w:rPr>
          <w:lang w:val="en-US"/>
        </w:rPr>
      </w:pPr>
      <w:r w:rsidRPr="00394F6F">
        <w:rPr>
          <w:lang w:val="en-US"/>
        </w:rPr>
        <w:t>Advanced University Degree in finance, international development, management or related field.</w:t>
      </w:r>
    </w:p>
    <w:p w14:paraId="56699706" w14:textId="68F43098" w:rsidR="005A37CC" w:rsidRDefault="005A37CC" w:rsidP="005A37CC">
      <w:pPr>
        <w:pStyle w:val="ListParagraph"/>
        <w:numPr>
          <w:ilvl w:val="0"/>
          <w:numId w:val="19"/>
        </w:numPr>
        <w:rPr>
          <w:lang w:val="en-US"/>
        </w:rPr>
      </w:pPr>
      <w:r w:rsidRPr="00394F6F">
        <w:rPr>
          <w:lang w:val="en-US"/>
        </w:rPr>
        <w:t xml:space="preserve">A minimum of </w:t>
      </w:r>
      <w:r>
        <w:rPr>
          <w:lang w:val="en-US"/>
        </w:rPr>
        <w:t>5</w:t>
      </w:r>
      <w:r w:rsidRPr="00394F6F">
        <w:rPr>
          <w:lang w:val="en-US"/>
        </w:rPr>
        <w:t xml:space="preserve"> years or more in managing large </w:t>
      </w:r>
      <w:proofErr w:type="gramStart"/>
      <w:r w:rsidRPr="00394F6F">
        <w:rPr>
          <w:lang w:val="en-US"/>
        </w:rPr>
        <w:t>donor</w:t>
      </w:r>
      <w:proofErr w:type="gramEnd"/>
      <w:r w:rsidRPr="00394F6F">
        <w:rPr>
          <w:lang w:val="en-US"/>
        </w:rPr>
        <w:t xml:space="preserve"> or government funded programs </w:t>
      </w:r>
    </w:p>
    <w:p w14:paraId="2BD3928E" w14:textId="77777777" w:rsidR="005A37CC" w:rsidRDefault="005A37CC" w:rsidP="005A37CC">
      <w:pPr>
        <w:pStyle w:val="ListParagraph"/>
        <w:numPr>
          <w:ilvl w:val="0"/>
          <w:numId w:val="19"/>
        </w:numPr>
        <w:rPr>
          <w:lang w:val="en-US"/>
        </w:rPr>
      </w:pPr>
      <w:r w:rsidRPr="00394F6F">
        <w:rPr>
          <w:lang w:val="en-US"/>
        </w:rPr>
        <w:t>Demonstrated experience in managing funds</w:t>
      </w:r>
      <w:r>
        <w:rPr>
          <w:lang w:val="en-US"/>
        </w:rPr>
        <w:t xml:space="preserve"> or TA facilities</w:t>
      </w:r>
      <w:r w:rsidRPr="00394F6F">
        <w:rPr>
          <w:lang w:val="en-US"/>
        </w:rPr>
        <w:t xml:space="preserve">, preferably in promotion of </w:t>
      </w:r>
      <w:r>
        <w:rPr>
          <w:lang w:val="en-US"/>
        </w:rPr>
        <w:t>DRE</w:t>
      </w:r>
    </w:p>
    <w:p w14:paraId="6EAA0F19" w14:textId="77777777" w:rsidR="005A37CC" w:rsidRDefault="005A37CC" w:rsidP="005A37CC">
      <w:pPr>
        <w:pStyle w:val="ListParagraph"/>
        <w:numPr>
          <w:ilvl w:val="0"/>
          <w:numId w:val="19"/>
        </w:numPr>
        <w:rPr>
          <w:lang w:val="en-US"/>
        </w:rPr>
      </w:pPr>
      <w:r w:rsidRPr="00394F6F">
        <w:rPr>
          <w:lang w:val="en-US"/>
        </w:rPr>
        <w:t>Experience in, and understanding of, the DRE market in Sub Saharan Africa</w:t>
      </w:r>
    </w:p>
    <w:p w14:paraId="0D123728" w14:textId="09DC4FDB" w:rsidR="005A37CC" w:rsidRDefault="005A37CC" w:rsidP="005A37CC">
      <w:pPr>
        <w:pStyle w:val="ListParagraph"/>
        <w:numPr>
          <w:ilvl w:val="0"/>
          <w:numId w:val="19"/>
        </w:numPr>
        <w:rPr>
          <w:lang w:val="en-US"/>
        </w:rPr>
      </w:pPr>
      <w:r w:rsidRPr="00394F6F">
        <w:rPr>
          <w:lang w:val="en-US"/>
        </w:rPr>
        <w:t xml:space="preserve">A track record of </w:t>
      </w:r>
      <w:r>
        <w:rPr>
          <w:lang w:val="en-US"/>
        </w:rPr>
        <w:t>managing day-to-day operations of</w:t>
      </w:r>
      <w:r w:rsidRPr="00394F6F">
        <w:rPr>
          <w:lang w:val="en-US"/>
        </w:rPr>
        <w:t xml:space="preserve"> </w:t>
      </w:r>
      <w:r>
        <w:rPr>
          <w:lang w:val="en-US"/>
        </w:rPr>
        <w:t xml:space="preserve">TA and grant facilities </w:t>
      </w:r>
      <w:r w:rsidRPr="00394F6F">
        <w:rPr>
          <w:lang w:val="en-US"/>
        </w:rPr>
        <w:t>aimed at market stimulation</w:t>
      </w:r>
      <w:r>
        <w:rPr>
          <w:lang w:val="en-US"/>
        </w:rPr>
        <w:t xml:space="preserve"> and investment readiness</w:t>
      </w:r>
      <w:r w:rsidRPr="00394F6F">
        <w:rPr>
          <w:lang w:val="en-US"/>
        </w:rPr>
        <w:t>, ideally funds created by multilateral development banks and/</w:t>
      </w:r>
      <w:proofErr w:type="gramStart"/>
      <w:r w:rsidRPr="00394F6F">
        <w:rPr>
          <w:lang w:val="en-US"/>
        </w:rPr>
        <w:t>or development</w:t>
      </w:r>
      <w:proofErr w:type="gramEnd"/>
      <w:r w:rsidRPr="00394F6F">
        <w:rPr>
          <w:lang w:val="en-US"/>
        </w:rPr>
        <w:t xml:space="preserve"> finance institutions and/or bi-lateral development assistance agencies or</w:t>
      </w:r>
    </w:p>
    <w:p w14:paraId="0EDAC3CA" w14:textId="77777777" w:rsidR="005A37CC" w:rsidRDefault="005A37CC" w:rsidP="005A37CC">
      <w:pPr>
        <w:pStyle w:val="ListParagraph"/>
        <w:numPr>
          <w:ilvl w:val="0"/>
          <w:numId w:val="19"/>
        </w:numPr>
        <w:rPr>
          <w:lang w:val="en-US"/>
        </w:rPr>
      </w:pPr>
      <w:r w:rsidRPr="00394F6F">
        <w:rPr>
          <w:lang w:val="en-US"/>
        </w:rPr>
        <w:t xml:space="preserve">A track record of providing financing to </w:t>
      </w:r>
      <w:r>
        <w:rPr>
          <w:lang w:val="en-US"/>
        </w:rPr>
        <w:t>DRE</w:t>
      </w:r>
      <w:r w:rsidRPr="00394F6F">
        <w:rPr>
          <w:lang w:val="en-US"/>
        </w:rPr>
        <w:t xml:space="preserve"> businesses </w:t>
      </w:r>
    </w:p>
    <w:p w14:paraId="3D1F623C" w14:textId="503AD22B" w:rsidR="005A37CC" w:rsidRPr="005A37CC" w:rsidRDefault="005A37CC" w:rsidP="002C2219">
      <w:pPr>
        <w:pStyle w:val="ListParagraph"/>
        <w:numPr>
          <w:ilvl w:val="0"/>
          <w:numId w:val="19"/>
        </w:numPr>
        <w:rPr>
          <w:lang w:val="en-US"/>
        </w:rPr>
      </w:pPr>
      <w:r w:rsidRPr="00394F6F">
        <w:rPr>
          <w:lang w:val="en-US"/>
        </w:rPr>
        <w:t>Experience managing reporting relationships with government stakeholders and large development finance organizations is highly desirable</w:t>
      </w:r>
    </w:p>
    <w:p w14:paraId="235A6991" w14:textId="16457F10" w:rsidR="002C2219" w:rsidRPr="005A37CC" w:rsidRDefault="005A37CC" w:rsidP="002C2219">
      <w:pPr>
        <w:rPr>
          <w:i/>
          <w:iCs/>
          <w:lang w:val="en-US"/>
        </w:rPr>
      </w:pPr>
      <w:r w:rsidRPr="005A37CC">
        <w:rPr>
          <w:i/>
          <w:iCs/>
          <w:lang w:val="en-US"/>
        </w:rPr>
        <w:t>Finance Expert</w:t>
      </w:r>
    </w:p>
    <w:p w14:paraId="6BAF0DBC" w14:textId="384AE5B8" w:rsidR="002C2219" w:rsidRPr="005A37CC" w:rsidRDefault="002C2219" w:rsidP="005A37CC">
      <w:pPr>
        <w:pStyle w:val="ListParagraph"/>
        <w:numPr>
          <w:ilvl w:val="0"/>
          <w:numId w:val="20"/>
        </w:numPr>
        <w:rPr>
          <w:lang w:val="en-US"/>
        </w:rPr>
      </w:pPr>
      <w:r w:rsidRPr="005A37CC">
        <w:rPr>
          <w:lang w:val="en-US"/>
        </w:rPr>
        <w:t>Advanced degree in finance, economics, business administration, or related field</w:t>
      </w:r>
    </w:p>
    <w:p w14:paraId="0E43184E" w14:textId="0CE9F80D" w:rsidR="002C2219" w:rsidRPr="005A37CC" w:rsidRDefault="002C2219" w:rsidP="005A37CC">
      <w:pPr>
        <w:pStyle w:val="ListParagraph"/>
        <w:numPr>
          <w:ilvl w:val="0"/>
          <w:numId w:val="20"/>
        </w:numPr>
        <w:rPr>
          <w:lang w:val="en-US"/>
        </w:rPr>
      </w:pPr>
      <w:r w:rsidRPr="005A37CC">
        <w:rPr>
          <w:lang w:val="en-US"/>
        </w:rPr>
        <w:t xml:space="preserve">A minimum of five years’ experience in origination, due diligence, structuring and monitoring of corporate and/or consumer finance </w:t>
      </w:r>
      <w:r w:rsidR="005A37CC">
        <w:rPr>
          <w:lang w:val="en-US"/>
        </w:rPr>
        <w:t xml:space="preserve">TA and </w:t>
      </w:r>
      <w:r w:rsidRPr="005A37CC">
        <w:rPr>
          <w:lang w:val="en-US"/>
        </w:rPr>
        <w:t>grant funds</w:t>
      </w:r>
    </w:p>
    <w:p w14:paraId="3F083344" w14:textId="59B8F9E1" w:rsidR="002C2219" w:rsidRPr="005A37CC" w:rsidRDefault="002C2219" w:rsidP="005A37CC">
      <w:pPr>
        <w:pStyle w:val="ListParagraph"/>
        <w:numPr>
          <w:ilvl w:val="0"/>
          <w:numId w:val="20"/>
        </w:numPr>
        <w:rPr>
          <w:lang w:val="en-US"/>
        </w:rPr>
      </w:pPr>
      <w:r w:rsidRPr="005A37CC">
        <w:rPr>
          <w:lang w:val="en-US"/>
        </w:rPr>
        <w:t xml:space="preserve">A minimum of </w:t>
      </w:r>
      <w:r w:rsidR="005A37CC">
        <w:rPr>
          <w:lang w:val="en-US"/>
        </w:rPr>
        <w:t>5</w:t>
      </w:r>
      <w:r w:rsidRPr="005A37CC">
        <w:rPr>
          <w:lang w:val="en-US"/>
        </w:rPr>
        <w:t xml:space="preserve"> years’ experience in the </w:t>
      </w:r>
      <w:r w:rsidR="005A37CC">
        <w:rPr>
          <w:lang w:val="en-US"/>
        </w:rPr>
        <w:t>DRE</w:t>
      </w:r>
      <w:r w:rsidRPr="005A37CC">
        <w:rPr>
          <w:lang w:val="en-US"/>
        </w:rPr>
        <w:t xml:space="preserve"> market in Sub Saharan Africa</w:t>
      </w:r>
    </w:p>
    <w:p w14:paraId="1BCE5622" w14:textId="6FEB5A45" w:rsidR="002C2219" w:rsidRDefault="002C2219" w:rsidP="005A37CC">
      <w:pPr>
        <w:pStyle w:val="ListParagraph"/>
        <w:numPr>
          <w:ilvl w:val="0"/>
          <w:numId w:val="20"/>
        </w:numPr>
        <w:rPr>
          <w:lang w:val="en-US"/>
        </w:rPr>
      </w:pPr>
      <w:r w:rsidRPr="005A37CC">
        <w:rPr>
          <w:lang w:val="en-US"/>
        </w:rPr>
        <w:t>Design and management of grant servicing, monitoring and evaluation processes</w:t>
      </w:r>
    </w:p>
    <w:p w14:paraId="4187BB39" w14:textId="77777777" w:rsidR="00A84834" w:rsidRPr="003D7441" w:rsidRDefault="00A84834" w:rsidP="00A84834">
      <w:pPr>
        <w:rPr>
          <w:lang w:val="en-US"/>
        </w:rPr>
      </w:pPr>
      <w:r w:rsidRPr="003D7441">
        <w:rPr>
          <w:lang w:val="en-US"/>
        </w:rPr>
        <w:t>Environmental and social Expert</w:t>
      </w:r>
    </w:p>
    <w:p w14:paraId="0F264B02" w14:textId="77777777" w:rsidR="00A84834" w:rsidRDefault="00A84834" w:rsidP="00A84834">
      <w:pPr>
        <w:pStyle w:val="ListParagraph"/>
        <w:numPr>
          <w:ilvl w:val="0"/>
          <w:numId w:val="24"/>
        </w:numPr>
        <w:rPr>
          <w:rFonts w:eastAsia="Calibri" w:cstheme="minorHAnsi"/>
        </w:rPr>
      </w:pPr>
      <w:r>
        <w:rPr>
          <w:rFonts w:eastAsia="Calibri" w:cstheme="minorHAnsi"/>
        </w:rPr>
        <w:t>Advanced degree</w:t>
      </w:r>
      <w:r w:rsidRPr="00273B8D">
        <w:rPr>
          <w:rFonts w:eastAsia="Calibri" w:cstheme="minorHAnsi"/>
        </w:rPr>
        <w:t xml:space="preserve"> in </w:t>
      </w:r>
      <w:r>
        <w:rPr>
          <w:rFonts w:eastAsia="Calibri" w:cstheme="minorHAnsi"/>
        </w:rPr>
        <w:t>e</w:t>
      </w:r>
      <w:r w:rsidRPr="00273B8D">
        <w:rPr>
          <w:rFonts w:eastAsia="Calibri" w:cstheme="minorHAnsi"/>
        </w:rPr>
        <w:t xml:space="preserve">nvironmental </w:t>
      </w:r>
      <w:r>
        <w:rPr>
          <w:rFonts w:eastAsia="Calibri" w:cstheme="minorHAnsi"/>
        </w:rPr>
        <w:t>s</w:t>
      </w:r>
      <w:r w:rsidRPr="00273B8D">
        <w:rPr>
          <w:rFonts w:eastAsia="Calibri" w:cstheme="minorHAnsi"/>
        </w:rPr>
        <w:t>ciences,</w:t>
      </w:r>
      <w:r>
        <w:rPr>
          <w:rFonts w:eastAsia="Calibri" w:cstheme="minorHAnsi"/>
        </w:rPr>
        <w:t xml:space="preserve"> s</w:t>
      </w:r>
      <w:r w:rsidRPr="00273B8D">
        <w:rPr>
          <w:rFonts w:eastAsia="Calibri" w:cstheme="minorHAnsi"/>
        </w:rPr>
        <w:t xml:space="preserve">ocial </w:t>
      </w:r>
      <w:r>
        <w:rPr>
          <w:rFonts w:eastAsia="Calibri" w:cstheme="minorHAnsi"/>
        </w:rPr>
        <w:t>s</w:t>
      </w:r>
      <w:r w:rsidRPr="00273B8D">
        <w:rPr>
          <w:rFonts w:eastAsia="Calibri" w:cstheme="minorHAnsi"/>
        </w:rPr>
        <w:t>ciences or related field</w:t>
      </w:r>
      <w:r>
        <w:rPr>
          <w:rFonts w:eastAsia="Calibri" w:cstheme="minorHAnsi"/>
        </w:rPr>
        <w:t xml:space="preserve"> </w:t>
      </w:r>
    </w:p>
    <w:p w14:paraId="4B184246" w14:textId="77777777" w:rsidR="00A84834" w:rsidRDefault="00A84834" w:rsidP="00A84834">
      <w:pPr>
        <w:pStyle w:val="ListParagraph"/>
        <w:numPr>
          <w:ilvl w:val="0"/>
          <w:numId w:val="24"/>
        </w:numPr>
        <w:rPr>
          <w:rFonts w:eastAsia="Calibri" w:cstheme="minorHAnsi"/>
        </w:rPr>
      </w:pPr>
      <w:r>
        <w:rPr>
          <w:rFonts w:eastAsia="Calibri" w:cstheme="minorHAnsi"/>
        </w:rPr>
        <w:t>A</w:t>
      </w:r>
      <w:r w:rsidRPr="00273B8D">
        <w:rPr>
          <w:rFonts w:eastAsia="Calibri" w:cstheme="minorHAnsi"/>
        </w:rPr>
        <w:t xml:space="preserve">t least </w:t>
      </w:r>
      <w:r>
        <w:rPr>
          <w:rFonts w:eastAsia="Calibri" w:cstheme="minorHAnsi"/>
        </w:rPr>
        <w:t xml:space="preserve">5 </w:t>
      </w:r>
      <w:r w:rsidRPr="00273B8D">
        <w:rPr>
          <w:rFonts w:eastAsia="Calibri" w:cstheme="minorHAnsi"/>
        </w:rPr>
        <w:t xml:space="preserve">years </w:t>
      </w:r>
      <w:r>
        <w:rPr>
          <w:rFonts w:eastAsia="Calibri" w:cstheme="minorHAnsi"/>
        </w:rPr>
        <w:t xml:space="preserve">of </w:t>
      </w:r>
      <w:r w:rsidRPr="00273B8D">
        <w:rPr>
          <w:rFonts w:eastAsia="Calibri" w:cstheme="minorHAnsi"/>
        </w:rPr>
        <w:t xml:space="preserve">relevant experience in environmental </w:t>
      </w:r>
      <w:r>
        <w:rPr>
          <w:rFonts w:eastAsia="Calibri" w:cstheme="minorHAnsi"/>
        </w:rPr>
        <w:t>and social assessment</w:t>
      </w:r>
      <w:r w:rsidRPr="00273B8D">
        <w:rPr>
          <w:rFonts w:eastAsia="Calibri" w:cstheme="minorHAnsi"/>
        </w:rPr>
        <w:t xml:space="preserve">, </w:t>
      </w:r>
      <w:r>
        <w:rPr>
          <w:rFonts w:eastAsia="Calibri" w:cstheme="minorHAnsi"/>
        </w:rPr>
        <w:t xml:space="preserve">multi-criteria assessment, </w:t>
      </w:r>
      <w:r w:rsidRPr="00273B8D">
        <w:rPr>
          <w:rFonts w:eastAsia="Calibri" w:cstheme="minorHAnsi"/>
        </w:rPr>
        <w:t>environmental and social monitoring</w:t>
      </w:r>
      <w:r>
        <w:rPr>
          <w:rFonts w:eastAsia="Calibri" w:cstheme="minorHAnsi"/>
        </w:rPr>
        <w:t xml:space="preserve">, </w:t>
      </w:r>
      <w:r w:rsidRPr="00273B8D">
        <w:rPr>
          <w:rFonts w:eastAsia="Calibri" w:cstheme="minorHAnsi"/>
        </w:rPr>
        <w:t>natural resource management, stakeholder engage</w:t>
      </w:r>
      <w:r>
        <w:rPr>
          <w:rFonts w:eastAsia="Calibri" w:cstheme="minorHAnsi"/>
        </w:rPr>
        <w:t>ment,</w:t>
      </w:r>
      <w:r w:rsidRPr="00273B8D">
        <w:rPr>
          <w:rFonts w:eastAsia="Calibri" w:cstheme="minorHAnsi"/>
        </w:rPr>
        <w:t xml:space="preserve"> </w:t>
      </w:r>
      <w:r>
        <w:rPr>
          <w:rFonts w:eastAsia="Calibri" w:cstheme="minorHAnsi"/>
        </w:rPr>
        <w:t>etc</w:t>
      </w:r>
    </w:p>
    <w:p w14:paraId="7CB35A42" w14:textId="77777777" w:rsidR="00A84834" w:rsidRPr="003656D5" w:rsidRDefault="00A84834" w:rsidP="00A84834">
      <w:pPr>
        <w:pStyle w:val="ListParagraph"/>
        <w:numPr>
          <w:ilvl w:val="0"/>
          <w:numId w:val="24"/>
        </w:numPr>
        <w:rPr>
          <w:rFonts w:eastAsia="Calibri" w:cstheme="minorHAnsi"/>
        </w:rPr>
      </w:pPr>
      <w:r>
        <w:rPr>
          <w:rFonts w:eastAsia="Calibri" w:cstheme="minorHAnsi"/>
        </w:rPr>
        <w:t>E</w:t>
      </w:r>
      <w:r w:rsidRPr="003656D5">
        <w:rPr>
          <w:rFonts w:eastAsia="Calibri" w:cstheme="minorHAnsi"/>
        </w:rPr>
        <w:t>xperience in preparing and managing</w:t>
      </w:r>
      <w:r>
        <w:rPr>
          <w:rFonts w:eastAsia="Calibri" w:cstheme="minorHAnsi"/>
        </w:rPr>
        <w:t xml:space="preserve"> the</w:t>
      </w:r>
      <w:r w:rsidRPr="003656D5">
        <w:rPr>
          <w:rFonts w:eastAsia="Calibri" w:cstheme="minorHAnsi"/>
        </w:rPr>
        <w:t xml:space="preserve"> implementation of </w:t>
      </w:r>
      <w:r>
        <w:rPr>
          <w:rFonts w:eastAsia="Calibri" w:cstheme="minorHAnsi"/>
        </w:rPr>
        <w:t xml:space="preserve">safeguards instruments including </w:t>
      </w:r>
      <w:r w:rsidRPr="003656D5">
        <w:rPr>
          <w:rFonts w:eastAsia="Calibri" w:cstheme="minorHAnsi"/>
          <w:lang w:val="en-ZW"/>
        </w:rPr>
        <w:t xml:space="preserve">ESIA, ESMP, RAP, SEP, GRM, and </w:t>
      </w:r>
      <w:r>
        <w:rPr>
          <w:rFonts w:eastAsia="Calibri" w:cstheme="minorHAnsi"/>
          <w:lang w:val="en-ZW"/>
        </w:rPr>
        <w:t xml:space="preserve">other E&amp;S </w:t>
      </w:r>
      <w:r w:rsidRPr="003656D5">
        <w:rPr>
          <w:rFonts w:eastAsia="Calibri" w:cstheme="minorHAnsi"/>
          <w:lang w:val="en-ZW"/>
        </w:rPr>
        <w:t>subsidiary management plans, as necessary</w:t>
      </w:r>
    </w:p>
    <w:p w14:paraId="079A8639" w14:textId="77777777" w:rsidR="00A84834" w:rsidRDefault="00A84834" w:rsidP="00A84834">
      <w:pPr>
        <w:pStyle w:val="ListParagraph"/>
        <w:numPr>
          <w:ilvl w:val="0"/>
          <w:numId w:val="24"/>
        </w:numPr>
        <w:rPr>
          <w:rFonts w:eastAsia="Calibri" w:cstheme="minorHAnsi"/>
        </w:rPr>
      </w:pPr>
      <w:r w:rsidRPr="003656D5">
        <w:rPr>
          <w:rFonts w:eastAsia="Calibri" w:cstheme="minorHAnsi"/>
        </w:rPr>
        <w:t>Proven ability to advise and support project environmental assessments and social safeguards preparation, contractual and financial elements of development project delivery, and experience of investment program identification, program design and implementation</w:t>
      </w:r>
    </w:p>
    <w:p w14:paraId="00599E2A" w14:textId="24E0879E" w:rsidR="004A6C52" w:rsidRPr="00745487" w:rsidRDefault="00A84834" w:rsidP="00745487">
      <w:pPr>
        <w:pStyle w:val="ListParagraph"/>
        <w:numPr>
          <w:ilvl w:val="0"/>
          <w:numId w:val="24"/>
        </w:numPr>
        <w:rPr>
          <w:rFonts w:eastAsia="Calibri" w:cstheme="minorHAnsi"/>
        </w:rPr>
      </w:pPr>
      <w:r w:rsidRPr="0084575D">
        <w:rPr>
          <w:rFonts w:eastAsia="Calibri" w:cstheme="minorHAnsi"/>
        </w:rPr>
        <w:t>Knowledge of environmental and social safeguards policies, frameworks, instruments of Multilateral Financing Institutions and Development Agencies (e.g. World Bank, African Development Bank, European Union, United Nations Agencies, etc)</w:t>
      </w:r>
      <w:r>
        <w:rPr>
          <w:rFonts w:eastAsia="Calibri" w:cstheme="minorHAnsi"/>
        </w:rPr>
        <w:t>.</w:t>
      </w:r>
    </w:p>
    <w:p w14:paraId="59E4E740" w14:textId="77777777" w:rsidR="00745487" w:rsidRPr="003D7441" w:rsidRDefault="004A6C52" w:rsidP="00ED3A24">
      <w:pPr>
        <w:rPr>
          <w:rFonts w:eastAsia="Calibri" w:cstheme="minorHAnsi"/>
        </w:rPr>
      </w:pPr>
      <w:r w:rsidRPr="003D7441">
        <w:rPr>
          <w:rFonts w:eastAsia="Calibri" w:cstheme="minorHAnsi"/>
        </w:rPr>
        <w:t>Clean Cooking Expert</w:t>
      </w:r>
    </w:p>
    <w:p w14:paraId="0E180132" w14:textId="226A0F97" w:rsidR="00ED3A24" w:rsidRPr="00ED3A24" w:rsidRDefault="00B8367E" w:rsidP="00ED3A24">
      <w:pPr>
        <w:rPr>
          <w:rFonts w:eastAsia="Calibri" w:cstheme="minorHAnsi"/>
        </w:rPr>
      </w:pPr>
      <w:r>
        <w:rPr>
          <w:rFonts w:eastAsia="Calibri" w:cstheme="minorHAnsi"/>
        </w:rPr>
        <w:t xml:space="preserve">The </w:t>
      </w:r>
      <w:r w:rsidR="0078406F">
        <w:rPr>
          <w:rFonts w:eastAsia="Calibri" w:cstheme="minorHAnsi"/>
        </w:rPr>
        <w:t xml:space="preserve">expert </w:t>
      </w:r>
      <w:r w:rsidR="0078406F" w:rsidRPr="00ED3A24">
        <w:rPr>
          <w:rFonts w:eastAsia="Calibri" w:cstheme="minorHAnsi"/>
        </w:rPr>
        <w:t>should</w:t>
      </w:r>
      <w:r w:rsidR="00ED3A24" w:rsidRPr="00ED3A24">
        <w:rPr>
          <w:rFonts w:eastAsia="Calibri" w:cstheme="minorHAnsi"/>
        </w:rPr>
        <w:t xml:space="preserve"> be able to demonstrate in-depth technical and scientific knowledge in one or more of the following areas:</w:t>
      </w:r>
    </w:p>
    <w:p w14:paraId="49F2863F" w14:textId="19642CD3" w:rsidR="00ED3A24" w:rsidRPr="00745487" w:rsidRDefault="00ED3A24" w:rsidP="00745487">
      <w:pPr>
        <w:pStyle w:val="ListParagraph"/>
        <w:numPr>
          <w:ilvl w:val="0"/>
          <w:numId w:val="25"/>
        </w:numPr>
        <w:rPr>
          <w:rFonts w:eastAsia="Calibri" w:cstheme="minorHAnsi"/>
        </w:rPr>
      </w:pPr>
      <w:r w:rsidRPr="00745487">
        <w:rPr>
          <w:rFonts w:eastAsia="Calibri" w:cstheme="minorHAnsi"/>
        </w:rPr>
        <w:t>Clean cooking technologies (bioethanol, electric cooking, improved cookstoves</w:t>
      </w:r>
      <w:r w:rsidR="00042C1F" w:rsidRPr="00745487">
        <w:rPr>
          <w:rFonts w:eastAsia="Calibri" w:cstheme="minorHAnsi"/>
        </w:rPr>
        <w:t xml:space="preserve"> etc</w:t>
      </w:r>
      <w:r w:rsidRPr="00745487">
        <w:rPr>
          <w:rFonts w:eastAsia="Calibri" w:cstheme="minorHAnsi"/>
        </w:rPr>
        <w:t>)</w:t>
      </w:r>
    </w:p>
    <w:p w14:paraId="781509BB" w14:textId="2D584E25" w:rsidR="00ED3A24" w:rsidRPr="00745487" w:rsidRDefault="00ED3A24" w:rsidP="00745487">
      <w:pPr>
        <w:pStyle w:val="ListParagraph"/>
        <w:numPr>
          <w:ilvl w:val="0"/>
          <w:numId w:val="25"/>
        </w:numPr>
        <w:rPr>
          <w:rFonts w:eastAsia="Calibri" w:cstheme="minorHAnsi"/>
        </w:rPr>
      </w:pPr>
      <w:r w:rsidRPr="00745487">
        <w:rPr>
          <w:rFonts w:eastAsia="Calibri" w:cstheme="minorHAnsi"/>
        </w:rPr>
        <w:t>Energy efficiency and emissions standards for appliances</w:t>
      </w:r>
    </w:p>
    <w:p w14:paraId="5A234BE2" w14:textId="5FEB88C0" w:rsidR="00ED3A24" w:rsidRPr="00745487" w:rsidRDefault="00ED3A24" w:rsidP="00745487">
      <w:pPr>
        <w:pStyle w:val="ListParagraph"/>
        <w:numPr>
          <w:ilvl w:val="0"/>
          <w:numId w:val="25"/>
        </w:numPr>
        <w:rPr>
          <w:rFonts w:eastAsia="Calibri" w:cstheme="minorHAnsi"/>
        </w:rPr>
      </w:pPr>
      <w:r w:rsidRPr="00745487">
        <w:rPr>
          <w:rFonts w:eastAsia="Calibri" w:cstheme="minorHAnsi"/>
        </w:rPr>
        <w:t>Environmental and health impacts of cooking fuels</w:t>
      </w:r>
    </w:p>
    <w:p w14:paraId="3FE06144" w14:textId="6711B289" w:rsidR="00ED3A24" w:rsidRPr="00745487" w:rsidRDefault="00ED62F6" w:rsidP="00745487">
      <w:pPr>
        <w:pStyle w:val="ListParagraph"/>
        <w:numPr>
          <w:ilvl w:val="0"/>
          <w:numId w:val="25"/>
        </w:numPr>
        <w:rPr>
          <w:rFonts w:eastAsia="Calibri" w:cstheme="minorHAnsi"/>
        </w:rPr>
      </w:pPr>
      <w:r w:rsidRPr="00745487">
        <w:rPr>
          <w:rFonts w:eastAsia="Calibri" w:cstheme="minorHAnsi"/>
        </w:rPr>
        <w:t>Business and Financing Models for clean cooking</w:t>
      </w:r>
    </w:p>
    <w:p w14:paraId="65DFE275" w14:textId="372848E9" w:rsidR="009D19FE" w:rsidRPr="00745487" w:rsidRDefault="00ED3A24" w:rsidP="00745487">
      <w:pPr>
        <w:pStyle w:val="ListParagraph"/>
        <w:numPr>
          <w:ilvl w:val="0"/>
          <w:numId w:val="25"/>
        </w:numPr>
        <w:rPr>
          <w:rFonts w:eastAsia="Calibri" w:cstheme="minorHAnsi"/>
        </w:rPr>
      </w:pPr>
      <w:r w:rsidRPr="00745487">
        <w:rPr>
          <w:rFonts w:eastAsia="Calibri" w:cstheme="minorHAnsi"/>
        </w:rPr>
        <w:t>Regional and international standardisation processes</w:t>
      </w:r>
    </w:p>
    <w:p w14:paraId="2AE894A3" w14:textId="64AF43CE" w:rsidR="009D19FE" w:rsidRPr="003D7441" w:rsidRDefault="009D19FE" w:rsidP="009D19FE">
      <w:pPr>
        <w:rPr>
          <w:rFonts w:eastAsia="Calibri" w:cstheme="minorHAnsi"/>
        </w:rPr>
      </w:pPr>
      <w:r w:rsidRPr="003D7441">
        <w:rPr>
          <w:rFonts w:eastAsia="Calibri" w:cstheme="minorHAnsi"/>
        </w:rPr>
        <w:t>Legal Expert</w:t>
      </w:r>
    </w:p>
    <w:p w14:paraId="4D6F1E86" w14:textId="239195C7" w:rsidR="009D19FE" w:rsidRPr="00745487" w:rsidRDefault="002B3F2E" w:rsidP="00745487">
      <w:pPr>
        <w:pStyle w:val="ListParagraph"/>
        <w:numPr>
          <w:ilvl w:val="0"/>
          <w:numId w:val="26"/>
        </w:numPr>
        <w:rPr>
          <w:rFonts w:eastAsia="Calibri" w:cstheme="minorHAnsi"/>
        </w:rPr>
      </w:pPr>
      <w:r w:rsidRPr="00745487">
        <w:rPr>
          <w:rFonts w:eastAsia="Calibri" w:cstheme="minorHAnsi"/>
        </w:rPr>
        <w:t>Relevant acade</w:t>
      </w:r>
      <w:r w:rsidR="00DE12F3" w:rsidRPr="00745487">
        <w:rPr>
          <w:rFonts w:eastAsia="Calibri" w:cstheme="minorHAnsi"/>
        </w:rPr>
        <w:t xml:space="preserve">mic qualifications </w:t>
      </w:r>
      <w:r w:rsidR="00BF1A43" w:rsidRPr="00745487">
        <w:rPr>
          <w:rFonts w:eastAsia="Calibri" w:cstheme="minorHAnsi"/>
        </w:rPr>
        <w:t>in Laws</w:t>
      </w:r>
      <w:r w:rsidR="003D7441">
        <w:rPr>
          <w:rFonts w:eastAsia="Calibri" w:cstheme="minorHAnsi"/>
        </w:rPr>
        <w:t xml:space="preserve"> at minimum </w:t>
      </w:r>
      <w:proofErr w:type="spellStart"/>
      <w:proofErr w:type="gramStart"/>
      <w:r w:rsidR="003D7441">
        <w:rPr>
          <w:rFonts w:eastAsia="Calibri" w:cstheme="minorHAnsi"/>
        </w:rPr>
        <w:t>masters</w:t>
      </w:r>
      <w:proofErr w:type="spellEnd"/>
      <w:proofErr w:type="gramEnd"/>
      <w:r w:rsidR="003D7441">
        <w:rPr>
          <w:rFonts w:eastAsia="Calibri" w:cstheme="minorHAnsi"/>
        </w:rPr>
        <w:t xml:space="preserve"> degree level.</w:t>
      </w:r>
      <w:r w:rsidR="009D19FE" w:rsidRPr="00745487">
        <w:rPr>
          <w:rFonts w:eastAsia="Calibri" w:cstheme="minorHAnsi"/>
        </w:rPr>
        <w:t xml:space="preserve">  </w:t>
      </w:r>
    </w:p>
    <w:p w14:paraId="50263D98" w14:textId="77777777" w:rsidR="009D19FE" w:rsidRPr="00745487" w:rsidRDefault="009D19FE" w:rsidP="00745487">
      <w:pPr>
        <w:pStyle w:val="ListParagraph"/>
        <w:numPr>
          <w:ilvl w:val="0"/>
          <w:numId w:val="26"/>
        </w:numPr>
        <w:rPr>
          <w:rFonts w:eastAsia="Calibri" w:cstheme="minorHAnsi"/>
        </w:rPr>
      </w:pPr>
      <w:r w:rsidRPr="00745487">
        <w:rPr>
          <w:rFonts w:eastAsia="Calibri" w:cstheme="minorHAnsi"/>
        </w:rPr>
        <w:t xml:space="preserve">Basic knowledge of electricity grids and power markets </w:t>
      </w:r>
    </w:p>
    <w:p w14:paraId="6F334338" w14:textId="30583F65" w:rsidR="009D19FE" w:rsidRPr="00745487" w:rsidRDefault="009D19FE" w:rsidP="00745487">
      <w:pPr>
        <w:pStyle w:val="ListParagraph"/>
        <w:numPr>
          <w:ilvl w:val="0"/>
          <w:numId w:val="26"/>
        </w:numPr>
        <w:rPr>
          <w:rFonts w:eastAsia="Calibri" w:cstheme="minorHAnsi"/>
        </w:rPr>
      </w:pPr>
      <w:r w:rsidRPr="00745487">
        <w:rPr>
          <w:rFonts w:eastAsia="Calibri" w:cstheme="minorHAnsi"/>
        </w:rPr>
        <w:t xml:space="preserve">Familiarity with environmental regulations impacting energy production </w:t>
      </w:r>
    </w:p>
    <w:p w14:paraId="43A0D9BE" w14:textId="312FB3EA" w:rsidR="009D19FE" w:rsidRPr="00745487" w:rsidRDefault="009D19FE" w:rsidP="00745487">
      <w:pPr>
        <w:pStyle w:val="ListParagraph"/>
        <w:numPr>
          <w:ilvl w:val="0"/>
          <w:numId w:val="26"/>
        </w:numPr>
        <w:rPr>
          <w:rFonts w:eastAsia="Calibri" w:cstheme="minorHAnsi"/>
        </w:rPr>
      </w:pPr>
      <w:r w:rsidRPr="00745487">
        <w:rPr>
          <w:rFonts w:eastAsia="Calibri" w:cstheme="minorHAnsi"/>
        </w:rPr>
        <w:t xml:space="preserve">Expertise in energy regulatory frameworks, including licensing, permitting, and compliance </w:t>
      </w:r>
    </w:p>
    <w:p w14:paraId="0CCE1DE7" w14:textId="77777777" w:rsidR="009D19FE" w:rsidRPr="00745487" w:rsidRDefault="009D19FE" w:rsidP="00745487">
      <w:pPr>
        <w:pStyle w:val="ListParagraph"/>
        <w:numPr>
          <w:ilvl w:val="0"/>
          <w:numId w:val="26"/>
        </w:numPr>
        <w:rPr>
          <w:rFonts w:eastAsia="Calibri" w:cstheme="minorHAnsi"/>
        </w:rPr>
      </w:pPr>
      <w:r w:rsidRPr="00745487">
        <w:rPr>
          <w:rFonts w:eastAsia="Calibri" w:cstheme="minorHAnsi"/>
        </w:rPr>
        <w:t xml:space="preserve">Knowledge of contract law related to energy transactions (power purchase agreements, etc.) </w:t>
      </w:r>
    </w:p>
    <w:p w14:paraId="373CE10C" w14:textId="68700C5C" w:rsidR="009D19FE" w:rsidRPr="00745487" w:rsidRDefault="009D19FE" w:rsidP="00745487">
      <w:pPr>
        <w:pStyle w:val="ListParagraph"/>
        <w:numPr>
          <w:ilvl w:val="0"/>
          <w:numId w:val="26"/>
        </w:numPr>
        <w:rPr>
          <w:rFonts w:eastAsia="Calibri" w:cstheme="minorHAnsi"/>
        </w:rPr>
      </w:pPr>
      <w:r w:rsidRPr="00745487">
        <w:rPr>
          <w:rFonts w:eastAsia="Calibri" w:cstheme="minorHAnsi"/>
        </w:rPr>
        <w:t xml:space="preserve">Experience in legal drafting and analysis of energy-related legislation </w:t>
      </w:r>
    </w:p>
    <w:p w14:paraId="3592660C" w14:textId="1A30894B" w:rsidR="009D19FE" w:rsidRPr="00745487" w:rsidRDefault="009D19FE" w:rsidP="00745487">
      <w:pPr>
        <w:pStyle w:val="ListParagraph"/>
        <w:numPr>
          <w:ilvl w:val="0"/>
          <w:numId w:val="26"/>
        </w:numPr>
        <w:rPr>
          <w:rFonts w:eastAsia="Calibri" w:cstheme="minorHAnsi"/>
        </w:rPr>
      </w:pPr>
      <w:r w:rsidRPr="00745487">
        <w:rPr>
          <w:rFonts w:eastAsia="Calibri" w:cstheme="minorHAnsi"/>
        </w:rPr>
        <w:t xml:space="preserve">Practical experience in an energy law firm, government agency, or in-house legal team within the energy sector </w:t>
      </w:r>
    </w:p>
    <w:p w14:paraId="15FC13ED" w14:textId="36256C2A" w:rsidR="009D19FE" w:rsidRDefault="00586EE8" w:rsidP="00ED3A24">
      <w:pPr>
        <w:rPr>
          <w:rFonts w:eastAsia="Calibri" w:cstheme="minorHAnsi"/>
          <w:b/>
          <w:bCs/>
        </w:rPr>
      </w:pPr>
      <w:r w:rsidRPr="00745487">
        <w:rPr>
          <w:rFonts w:eastAsia="Calibri" w:cstheme="minorHAnsi"/>
          <w:b/>
          <w:bCs/>
        </w:rPr>
        <w:t>Gender Expert</w:t>
      </w:r>
    </w:p>
    <w:p w14:paraId="0BB124A1" w14:textId="0AF2E38B" w:rsidR="00BB2FDD" w:rsidRPr="00745487" w:rsidRDefault="00BB2FDD" w:rsidP="000F0355">
      <w:pPr>
        <w:rPr>
          <w:rFonts w:eastAsia="Calibri" w:cstheme="minorHAnsi"/>
        </w:rPr>
      </w:pPr>
      <w:r w:rsidRPr="00745487">
        <w:rPr>
          <w:rFonts w:eastAsia="Calibri" w:cstheme="minorHAnsi"/>
        </w:rPr>
        <w:t xml:space="preserve">The expert should have relevant academic qualifications with a minimum of a </w:t>
      </w:r>
      <w:r w:rsidR="004377ED" w:rsidRPr="00745487">
        <w:rPr>
          <w:rFonts w:eastAsia="Calibri" w:cstheme="minorHAnsi"/>
        </w:rPr>
        <w:t>master’s</w:t>
      </w:r>
      <w:r w:rsidRPr="00745487">
        <w:rPr>
          <w:rFonts w:eastAsia="Calibri" w:cstheme="minorHAnsi"/>
        </w:rPr>
        <w:t xml:space="preserve"> </w:t>
      </w:r>
      <w:r w:rsidR="00175161" w:rsidRPr="00745487">
        <w:rPr>
          <w:rFonts w:eastAsia="Calibri" w:cstheme="minorHAnsi"/>
        </w:rPr>
        <w:t>degree.</w:t>
      </w:r>
    </w:p>
    <w:p w14:paraId="46603199" w14:textId="4B4B51AF" w:rsidR="000F0355" w:rsidRPr="00745487" w:rsidRDefault="00175161" w:rsidP="00745487">
      <w:pPr>
        <w:pStyle w:val="ListParagraph"/>
        <w:numPr>
          <w:ilvl w:val="0"/>
          <w:numId w:val="28"/>
        </w:numPr>
        <w:rPr>
          <w:rFonts w:eastAsia="Calibri" w:cstheme="minorHAnsi"/>
        </w:rPr>
      </w:pPr>
      <w:r w:rsidRPr="00745487">
        <w:rPr>
          <w:rFonts w:eastAsia="Calibri" w:cstheme="minorHAnsi"/>
        </w:rPr>
        <w:t xml:space="preserve">Ability to </w:t>
      </w:r>
      <w:r w:rsidR="00037476" w:rsidRPr="00745487">
        <w:rPr>
          <w:rFonts w:eastAsia="Calibri" w:cstheme="minorHAnsi"/>
        </w:rPr>
        <w:t>i</w:t>
      </w:r>
      <w:r w:rsidR="000F0355" w:rsidRPr="00745487">
        <w:rPr>
          <w:rFonts w:eastAsia="Calibri" w:cstheme="minorHAnsi"/>
        </w:rPr>
        <w:t xml:space="preserve">dentify the unique barriers women and girls face in accessing energy, such as lack of decision-making power, cultural norms, and financial constraints. </w:t>
      </w:r>
    </w:p>
    <w:p w14:paraId="735B8848" w14:textId="765BC576" w:rsidR="000F0355" w:rsidRPr="00745487" w:rsidRDefault="00037476" w:rsidP="00745487">
      <w:pPr>
        <w:pStyle w:val="ListParagraph"/>
        <w:numPr>
          <w:ilvl w:val="0"/>
          <w:numId w:val="28"/>
        </w:numPr>
        <w:rPr>
          <w:rFonts w:eastAsia="Calibri" w:cstheme="minorHAnsi"/>
        </w:rPr>
      </w:pPr>
      <w:r w:rsidRPr="00745487">
        <w:rPr>
          <w:rFonts w:eastAsia="Calibri" w:cstheme="minorHAnsi"/>
        </w:rPr>
        <w:t>Experience in d</w:t>
      </w:r>
      <w:r w:rsidR="000F0355" w:rsidRPr="00745487">
        <w:rPr>
          <w:rFonts w:eastAsia="Calibri" w:cstheme="minorHAnsi"/>
        </w:rPr>
        <w:t>esigning gender-sensitive energy projects:</w:t>
      </w:r>
    </w:p>
    <w:p w14:paraId="1554CF63" w14:textId="72601483" w:rsidR="000F0355" w:rsidRPr="00745487" w:rsidRDefault="00037476" w:rsidP="00745487">
      <w:pPr>
        <w:pStyle w:val="ListParagraph"/>
        <w:numPr>
          <w:ilvl w:val="0"/>
          <w:numId w:val="28"/>
        </w:numPr>
        <w:rPr>
          <w:rFonts w:eastAsia="Calibri" w:cstheme="minorHAnsi"/>
        </w:rPr>
      </w:pPr>
      <w:r w:rsidRPr="00745487">
        <w:rPr>
          <w:rFonts w:eastAsia="Calibri" w:cstheme="minorHAnsi"/>
        </w:rPr>
        <w:t>Experience in d</w:t>
      </w:r>
      <w:r w:rsidR="000F0355" w:rsidRPr="00745487">
        <w:rPr>
          <w:rFonts w:eastAsia="Calibri" w:cstheme="minorHAnsi"/>
        </w:rPr>
        <w:t xml:space="preserve">eveloping interventions that specifically target the needs of women and girls, considering factors like appropriate technology selection, training programs, and community engagement strategies. </w:t>
      </w:r>
    </w:p>
    <w:p w14:paraId="0CAEA302" w14:textId="3A577691" w:rsidR="000F0355" w:rsidRPr="00745487" w:rsidRDefault="000F0355" w:rsidP="00745487">
      <w:pPr>
        <w:pStyle w:val="ListParagraph"/>
        <w:numPr>
          <w:ilvl w:val="0"/>
          <w:numId w:val="28"/>
        </w:numPr>
        <w:rPr>
          <w:rFonts w:eastAsia="Calibri" w:cstheme="minorHAnsi"/>
        </w:rPr>
      </w:pPr>
      <w:r w:rsidRPr="00745487">
        <w:rPr>
          <w:rFonts w:eastAsia="Calibri" w:cstheme="minorHAnsi"/>
        </w:rPr>
        <w:t xml:space="preserve">Lobbying for policies that promote gender equality in the energy sector, including regulations on access to clean energy, incentives for women-led energy businesses, and gender-responsive energy </w:t>
      </w:r>
      <w:r w:rsidR="00A84F07" w:rsidRPr="00745487">
        <w:rPr>
          <w:rFonts w:eastAsia="Calibri" w:cstheme="minorHAnsi"/>
        </w:rPr>
        <w:t>planning</w:t>
      </w:r>
    </w:p>
    <w:p w14:paraId="1C9EAFC2" w14:textId="1C662241" w:rsidR="000F0355" w:rsidRPr="004377ED" w:rsidRDefault="004377ED" w:rsidP="00745487">
      <w:pPr>
        <w:pStyle w:val="ListParagraph"/>
        <w:numPr>
          <w:ilvl w:val="0"/>
          <w:numId w:val="28"/>
        </w:numPr>
        <w:rPr>
          <w:rFonts w:eastAsia="Calibri" w:cstheme="minorHAnsi"/>
        </w:rPr>
      </w:pPr>
      <w:r w:rsidRPr="00745487">
        <w:rPr>
          <w:rFonts w:eastAsia="Calibri" w:cstheme="minorHAnsi"/>
        </w:rPr>
        <w:t>Ability to i</w:t>
      </w:r>
      <w:r w:rsidR="00A84F07" w:rsidRPr="00745487">
        <w:rPr>
          <w:rFonts w:eastAsia="Calibri" w:cstheme="minorHAnsi"/>
        </w:rPr>
        <w:t>ntegrat</w:t>
      </w:r>
      <w:r w:rsidRPr="00745487">
        <w:rPr>
          <w:rFonts w:eastAsia="Calibri" w:cstheme="minorHAnsi"/>
        </w:rPr>
        <w:t xml:space="preserve">e </w:t>
      </w:r>
      <w:r w:rsidR="00A84F07" w:rsidRPr="00745487">
        <w:rPr>
          <w:rFonts w:eastAsia="Calibri" w:cstheme="minorHAnsi"/>
        </w:rPr>
        <w:t>gender considerations into</w:t>
      </w:r>
      <w:r w:rsidRPr="00745487">
        <w:rPr>
          <w:rFonts w:eastAsia="Calibri" w:cstheme="minorHAnsi"/>
        </w:rPr>
        <w:t xml:space="preserve"> company </w:t>
      </w:r>
      <w:r w:rsidR="00A84F07" w:rsidRPr="00745487">
        <w:rPr>
          <w:rFonts w:eastAsia="Calibri" w:cstheme="minorHAnsi"/>
        </w:rPr>
        <w:t xml:space="preserve">  operations and projects to ensure equitable access to energy for a</w:t>
      </w:r>
      <w:r w:rsidR="00175161" w:rsidRPr="00745487">
        <w:rPr>
          <w:rFonts w:eastAsia="Calibri" w:cstheme="minorHAnsi"/>
        </w:rPr>
        <w:t>l</w:t>
      </w:r>
      <w:r w:rsidR="00A84F07" w:rsidRPr="00745487">
        <w:rPr>
          <w:rFonts w:eastAsia="Calibri" w:cstheme="minorHAnsi"/>
        </w:rPr>
        <w:t>l</w:t>
      </w:r>
    </w:p>
    <w:p w14:paraId="67F61042" w14:textId="4FC84A32" w:rsidR="00586EE8" w:rsidRPr="004677E2" w:rsidRDefault="0046435F" w:rsidP="00ED3A24">
      <w:pPr>
        <w:rPr>
          <w:rFonts w:eastAsia="Calibri" w:cstheme="minorHAnsi"/>
          <w:b/>
          <w:bCs/>
        </w:rPr>
      </w:pPr>
      <w:r w:rsidRPr="00745487">
        <w:rPr>
          <w:rFonts w:eastAsia="Calibri" w:cstheme="minorHAnsi"/>
          <w:b/>
          <w:bCs/>
        </w:rPr>
        <w:t>Carbon</w:t>
      </w:r>
      <w:r w:rsidR="00A75356" w:rsidRPr="004677E2">
        <w:rPr>
          <w:rFonts w:eastAsia="Calibri" w:cstheme="minorHAnsi"/>
          <w:b/>
          <w:bCs/>
        </w:rPr>
        <w:t xml:space="preserve"> </w:t>
      </w:r>
      <w:r w:rsidR="004677E2" w:rsidRPr="004677E2">
        <w:rPr>
          <w:rFonts w:eastAsia="Calibri" w:cstheme="minorHAnsi"/>
          <w:b/>
          <w:bCs/>
        </w:rPr>
        <w:t>Mark</w:t>
      </w:r>
      <w:r w:rsidR="004677E2">
        <w:rPr>
          <w:rFonts w:eastAsia="Calibri" w:cstheme="minorHAnsi"/>
          <w:b/>
          <w:bCs/>
        </w:rPr>
        <w:t>e</w:t>
      </w:r>
      <w:r w:rsidR="004677E2" w:rsidRPr="004677E2">
        <w:rPr>
          <w:rFonts w:eastAsia="Calibri" w:cstheme="minorHAnsi"/>
          <w:b/>
          <w:bCs/>
        </w:rPr>
        <w:t>t Expert</w:t>
      </w:r>
    </w:p>
    <w:p w14:paraId="7DC7F344" w14:textId="2D0F2E73" w:rsidR="00A75356" w:rsidRPr="00745487" w:rsidRDefault="00A5649B" w:rsidP="00A75356">
      <w:pPr>
        <w:rPr>
          <w:rFonts w:eastAsia="Calibri" w:cstheme="minorHAnsi"/>
        </w:rPr>
      </w:pPr>
      <w:r w:rsidRPr="00745487">
        <w:rPr>
          <w:rFonts w:eastAsia="Calibri" w:cstheme="minorHAnsi"/>
        </w:rPr>
        <w:t xml:space="preserve">Relevant academic qualifications at master’s </w:t>
      </w:r>
      <w:r w:rsidR="004677E2" w:rsidRPr="00745487">
        <w:rPr>
          <w:rFonts w:eastAsia="Calibri" w:cstheme="minorHAnsi"/>
        </w:rPr>
        <w:t xml:space="preserve">degree </w:t>
      </w:r>
      <w:r w:rsidRPr="00745487">
        <w:rPr>
          <w:rFonts w:eastAsia="Calibri" w:cstheme="minorHAnsi"/>
        </w:rPr>
        <w:t>level</w:t>
      </w:r>
      <w:r w:rsidR="004677E2" w:rsidRPr="00745487">
        <w:rPr>
          <w:rFonts w:eastAsia="Calibri" w:cstheme="minorHAnsi"/>
        </w:rPr>
        <w:t xml:space="preserve"> (minimum)</w:t>
      </w:r>
    </w:p>
    <w:p w14:paraId="7ACC8457" w14:textId="1828EAB4" w:rsidR="00A75356" w:rsidRPr="00745487" w:rsidRDefault="00A75356" w:rsidP="00745487">
      <w:pPr>
        <w:pStyle w:val="ListParagraph"/>
        <w:numPr>
          <w:ilvl w:val="0"/>
          <w:numId w:val="27"/>
        </w:numPr>
        <w:rPr>
          <w:rFonts w:eastAsia="Calibri" w:cstheme="minorHAnsi"/>
        </w:rPr>
      </w:pPr>
      <w:r w:rsidRPr="00745487">
        <w:rPr>
          <w:rFonts w:eastAsia="Calibri" w:cstheme="minorHAnsi"/>
        </w:rPr>
        <w:t>The candidate should have a minimum of 5 years of work experience in the carbon market area</w:t>
      </w:r>
    </w:p>
    <w:p w14:paraId="12FDFB90" w14:textId="4127FA6D" w:rsidR="00A75356" w:rsidRPr="00745487" w:rsidRDefault="009257CC" w:rsidP="00745487">
      <w:pPr>
        <w:pStyle w:val="ListParagraph"/>
        <w:numPr>
          <w:ilvl w:val="0"/>
          <w:numId w:val="27"/>
        </w:numPr>
        <w:rPr>
          <w:rFonts w:eastAsia="Calibri" w:cstheme="minorHAnsi"/>
        </w:rPr>
      </w:pPr>
      <w:r>
        <w:rPr>
          <w:rFonts w:eastAsia="Calibri" w:cstheme="minorHAnsi"/>
        </w:rPr>
        <w:t xml:space="preserve">Understanding and </w:t>
      </w:r>
      <w:r w:rsidR="00A75356" w:rsidRPr="00745487">
        <w:rPr>
          <w:rFonts w:eastAsia="Calibri" w:cstheme="minorHAnsi"/>
        </w:rPr>
        <w:t>Experience in emerging markets and developing countries is required</w:t>
      </w:r>
    </w:p>
    <w:p w14:paraId="34A883D4" w14:textId="00993388" w:rsidR="00A75356" w:rsidRPr="00745487" w:rsidRDefault="00A75356" w:rsidP="00745487">
      <w:pPr>
        <w:pStyle w:val="ListParagraph"/>
        <w:numPr>
          <w:ilvl w:val="0"/>
          <w:numId w:val="27"/>
        </w:numPr>
        <w:rPr>
          <w:rFonts w:eastAsia="Calibri" w:cstheme="minorHAnsi"/>
        </w:rPr>
      </w:pPr>
      <w:r w:rsidRPr="00745487">
        <w:rPr>
          <w:rFonts w:eastAsia="Calibri" w:cstheme="minorHAnsi"/>
        </w:rPr>
        <w:t xml:space="preserve">Experience in areas such as climate change negotiation and climate governance </w:t>
      </w:r>
      <w:proofErr w:type="gramStart"/>
      <w:r w:rsidRPr="00745487">
        <w:rPr>
          <w:rFonts w:eastAsia="Calibri" w:cstheme="minorHAnsi"/>
        </w:rPr>
        <w:t>is</w:t>
      </w:r>
      <w:proofErr w:type="gramEnd"/>
      <w:r w:rsidRPr="00745487">
        <w:rPr>
          <w:rFonts w:eastAsia="Calibri" w:cstheme="minorHAnsi"/>
        </w:rPr>
        <w:t xml:space="preserve"> an asset</w:t>
      </w:r>
    </w:p>
    <w:p w14:paraId="18A1E0D4" w14:textId="715F82F0" w:rsidR="00A75356" w:rsidRPr="00745487" w:rsidRDefault="00A75356" w:rsidP="00745487">
      <w:pPr>
        <w:pStyle w:val="ListParagraph"/>
        <w:numPr>
          <w:ilvl w:val="0"/>
          <w:numId w:val="27"/>
        </w:numPr>
        <w:rPr>
          <w:rFonts w:eastAsia="Calibri" w:cstheme="minorHAnsi"/>
        </w:rPr>
      </w:pPr>
      <w:r w:rsidRPr="00745487">
        <w:rPr>
          <w:rFonts w:eastAsia="Calibri" w:cstheme="minorHAnsi"/>
        </w:rPr>
        <w:t>Experience in impact assessment for sustainable development and/or transformational change is an asset</w:t>
      </w:r>
    </w:p>
    <w:p w14:paraId="153AF1D2" w14:textId="22638743" w:rsidR="00A75356" w:rsidRPr="00745487" w:rsidRDefault="00A75356" w:rsidP="00745487">
      <w:pPr>
        <w:pStyle w:val="ListParagraph"/>
        <w:numPr>
          <w:ilvl w:val="0"/>
          <w:numId w:val="27"/>
        </w:numPr>
        <w:rPr>
          <w:rFonts w:eastAsia="Calibri" w:cstheme="minorHAnsi"/>
        </w:rPr>
      </w:pPr>
      <w:r w:rsidRPr="00745487">
        <w:rPr>
          <w:rFonts w:eastAsia="Calibri" w:cstheme="minorHAnsi"/>
        </w:rPr>
        <w:t xml:space="preserve">Experience in international climate governance, related to the Paris Agreement Articles 6 is desirable </w:t>
      </w:r>
    </w:p>
    <w:p w14:paraId="6095B3FF" w14:textId="4147FBEC" w:rsidR="002C2219" w:rsidRPr="00F81C73" w:rsidRDefault="00F81C73" w:rsidP="002C2219">
      <w:pPr>
        <w:pStyle w:val="Heading1"/>
        <w:rPr>
          <w:lang w:val="en-US"/>
        </w:rPr>
      </w:pPr>
      <w:r>
        <w:rPr>
          <w:lang w:val="en-US"/>
        </w:rPr>
        <w:t>Reporting requirements and time schedule for deliverables</w:t>
      </w:r>
    </w:p>
    <w:p w14:paraId="6A273705" w14:textId="1889F54F" w:rsidR="002C2219" w:rsidRPr="002C2219" w:rsidRDefault="002C2219" w:rsidP="002C2219">
      <w:pPr>
        <w:rPr>
          <w:lang w:val="en-US"/>
        </w:rPr>
      </w:pPr>
      <w:r w:rsidRPr="002C2219">
        <w:rPr>
          <w:lang w:val="en-US"/>
        </w:rPr>
        <w:t xml:space="preserve">The </w:t>
      </w:r>
      <w:r w:rsidR="00F42B53">
        <w:rPr>
          <w:lang w:val="en-US"/>
        </w:rPr>
        <w:t>PIU</w:t>
      </w:r>
      <w:r w:rsidRPr="002C2219">
        <w:rPr>
          <w:lang w:val="en-US"/>
        </w:rPr>
        <w:t xml:space="preserve"> will review and approve the </w:t>
      </w:r>
      <w:r w:rsidR="00F42B53">
        <w:rPr>
          <w:lang w:val="en-US"/>
        </w:rPr>
        <w:t xml:space="preserve">Operations </w:t>
      </w:r>
      <w:r w:rsidR="00F42B53" w:rsidRPr="00131BBF">
        <w:rPr>
          <w:lang w:val="en-US"/>
        </w:rPr>
        <w:t>Manual</w:t>
      </w:r>
      <w:proofErr w:type="gramStart"/>
      <w:r w:rsidRPr="00131BBF">
        <w:rPr>
          <w:lang w:val="en-US"/>
        </w:rPr>
        <w:t>, any</w:t>
      </w:r>
      <w:proofErr w:type="gramEnd"/>
      <w:r w:rsidRPr="00131BBF">
        <w:rPr>
          <w:lang w:val="en-US"/>
        </w:rPr>
        <w:t xml:space="preserve"> changes to operating procedures, as well as quarterly reports. The </w:t>
      </w:r>
      <w:r w:rsidR="00F42B53" w:rsidRPr="00131BBF">
        <w:rPr>
          <w:lang w:val="en-US"/>
        </w:rPr>
        <w:t>PPF manager</w:t>
      </w:r>
      <w:r w:rsidRPr="00131BBF">
        <w:rPr>
          <w:lang w:val="en-US"/>
        </w:rPr>
        <w:t xml:space="preserve"> will initially be contracted for a </w:t>
      </w:r>
      <w:proofErr w:type="gramStart"/>
      <w:r w:rsidRPr="00131BBF">
        <w:rPr>
          <w:lang w:val="en-US"/>
        </w:rPr>
        <w:t>24 month</w:t>
      </w:r>
      <w:proofErr w:type="gramEnd"/>
      <w:r w:rsidRPr="00131BBF">
        <w:rPr>
          <w:lang w:val="en-US"/>
        </w:rPr>
        <w:t xml:space="preserve"> period, which may be extended upon satisfactory performance of the</w:t>
      </w:r>
      <w:r w:rsidRPr="002C2219">
        <w:rPr>
          <w:lang w:val="en-US"/>
        </w:rPr>
        <w:t xml:space="preserve"> firm or terminated due to unsatisfactory performance. </w:t>
      </w:r>
    </w:p>
    <w:p w14:paraId="07787D64" w14:textId="1FE7F93C" w:rsidR="002C2219" w:rsidRPr="002C2219" w:rsidRDefault="002C2219" w:rsidP="002C2219">
      <w:pPr>
        <w:rPr>
          <w:lang w:val="en-US"/>
        </w:rPr>
      </w:pPr>
      <w:r w:rsidRPr="002C2219">
        <w:rPr>
          <w:lang w:val="en-US"/>
        </w:rPr>
        <w:t xml:space="preserve">The </w:t>
      </w:r>
      <w:r w:rsidR="005A37CC">
        <w:rPr>
          <w:lang w:val="en-US"/>
        </w:rPr>
        <w:t>PPF manager</w:t>
      </w:r>
      <w:r w:rsidRPr="002C2219">
        <w:rPr>
          <w:lang w:val="en-US"/>
        </w:rPr>
        <w:t xml:space="preserve"> will have the following contractual deliverables:</w:t>
      </w:r>
    </w:p>
    <w:p w14:paraId="346F247E" w14:textId="3F3730E1" w:rsidR="002C2219" w:rsidRPr="007C4B7C" w:rsidRDefault="005A37CC" w:rsidP="007C4B7C">
      <w:pPr>
        <w:pStyle w:val="ListParagraph"/>
        <w:numPr>
          <w:ilvl w:val="0"/>
          <w:numId w:val="21"/>
        </w:numPr>
        <w:rPr>
          <w:lang w:val="en-US"/>
        </w:rPr>
      </w:pPr>
      <w:r w:rsidRPr="007C4B7C">
        <w:rPr>
          <w:lang w:val="en-US"/>
        </w:rPr>
        <w:t xml:space="preserve">Operations Manual and documentation for all related processes </w:t>
      </w:r>
    </w:p>
    <w:p w14:paraId="26D7D456" w14:textId="137E11C7" w:rsidR="002C2219" w:rsidRPr="007C4B7C" w:rsidRDefault="002C2219" w:rsidP="007C4B7C">
      <w:pPr>
        <w:pStyle w:val="ListParagraph"/>
        <w:numPr>
          <w:ilvl w:val="0"/>
          <w:numId w:val="21"/>
        </w:numPr>
        <w:rPr>
          <w:lang w:val="en-US"/>
        </w:rPr>
      </w:pPr>
      <w:r w:rsidRPr="007C4B7C">
        <w:rPr>
          <w:lang w:val="en-US"/>
        </w:rPr>
        <w:t xml:space="preserve">Quarterly reports </w:t>
      </w:r>
    </w:p>
    <w:p w14:paraId="3CEC2CB2" w14:textId="5CFC3208" w:rsidR="002C2219" w:rsidRPr="007C4B7C" w:rsidRDefault="002C2219" w:rsidP="007C4B7C">
      <w:pPr>
        <w:pStyle w:val="ListParagraph"/>
        <w:numPr>
          <w:ilvl w:val="0"/>
          <w:numId w:val="21"/>
        </w:numPr>
        <w:rPr>
          <w:lang w:val="en-US"/>
        </w:rPr>
      </w:pPr>
      <w:r w:rsidRPr="007C4B7C">
        <w:rPr>
          <w:lang w:val="en-US"/>
        </w:rPr>
        <w:t xml:space="preserve">Annual Reports </w:t>
      </w:r>
    </w:p>
    <w:p w14:paraId="404E16C2" w14:textId="77777777" w:rsidR="00131BBF" w:rsidRDefault="00131BBF">
      <w:pPr>
        <w:rPr>
          <w:b/>
          <w:bCs/>
          <w:lang w:val="en-US"/>
        </w:rPr>
      </w:pPr>
      <w:r>
        <w:rPr>
          <w:lang w:val="en-US"/>
        </w:rPr>
        <w:br w:type="page"/>
      </w:r>
    </w:p>
    <w:p w14:paraId="577C496F" w14:textId="631F3C02" w:rsidR="002C2219" w:rsidRPr="002C2219" w:rsidRDefault="00C06C47" w:rsidP="00131BBF">
      <w:pPr>
        <w:pStyle w:val="Heading1"/>
        <w:numPr>
          <w:ilvl w:val="0"/>
          <w:numId w:val="0"/>
        </w:numPr>
        <w:ind w:left="426" w:hanging="426"/>
        <w:rPr>
          <w:lang w:val="en-US"/>
        </w:rPr>
      </w:pPr>
      <w:r w:rsidRPr="002C2219">
        <w:rPr>
          <w:lang w:val="en-US"/>
        </w:rPr>
        <w:t xml:space="preserve">ANNEX 1 – </w:t>
      </w:r>
      <w:r w:rsidR="00F81C73">
        <w:rPr>
          <w:lang w:val="en-US"/>
        </w:rPr>
        <w:t>Draft e</w:t>
      </w:r>
      <w:r w:rsidR="002C2219" w:rsidRPr="002C2219">
        <w:rPr>
          <w:lang w:val="en-US"/>
        </w:rPr>
        <w:t>ligibility</w:t>
      </w:r>
      <w:r w:rsidR="00F42B53">
        <w:rPr>
          <w:lang w:val="en-US"/>
        </w:rPr>
        <w:t xml:space="preserve"> criteria</w:t>
      </w:r>
      <w:r w:rsidR="002C2219" w:rsidRPr="002C2219">
        <w:rPr>
          <w:lang w:val="en-US"/>
        </w:rPr>
        <w:t>, application and approval process</w:t>
      </w:r>
    </w:p>
    <w:p w14:paraId="561A195D" w14:textId="4AE2F063" w:rsidR="002C2219" w:rsidRPr="002508DF" w:rsidRDefault="002C2219" w:rsidP="002C2219">
      <w:pPr>
        <w:rPr>
          <w:lang w:val="en-US"/>
        </w:rPr>
      </w:pPr>
      <w:r w:rsidRPr="002508DF">
        <w:rPr>
          <w:lang w:val="en-US"/>
        </w:rPr>
        <w:t>The PPF will provide services to companies engaged in eligible DRE and clean cooking activities</w:t>
      </w:r>
      <w:r w:rsidRPr="002508DF">
        <w:rPr>
          <w:rStyle w:val="FootnoteReference"/>
          <w:lang w:val="en-US"/>
        </w:rPr>
        <w:footnoteReference w:id="3"/>
      </w:r>
      <w:r w:rsidRPr="002508DF">
        <w:rPr>
          <w:lang w:val="en-US"/>
        </w:rPr>
        <w:t xml:space="preserve"> to provide direct energy access to households, public institutions and businesses in eligible countries</w:t>
      </w:r>
      <w:r w:rsidRPr="002508DF">
        <w:rPr>
          <w:rStyle w:val="FootnoteReference"/>
          <w:lang w:val="en-US"/>
        </w:rPr>
        <w:footnoteReference w:id="4"/>
      </w:r>
      <w:r w:rsidRPr="002508DF">
        <w:rPr>
          <w:lang w:val="en-US"/>
        </w:rPr>
        <w:t xml:space="preserve">. The PPF will support companies of different sizes and stages of growth, but through different approaches. Small and early-stage companies that are not </w:t>
      </w:r>
      <w:proofErr w:type="gramStart"/>
      <w:r w:rsidRPr="002508DF">
        <w:rPr>
          <w:lang w:val="en-US"/>
        </w:rPr>
        <w:t>in a position</w:t>
      </w:r>
      <w:proofErr w:type="gramEnd"/>
      <w:r w:rsidRPr="002508DF">
        <w:rPr>
          <w:lang w:val="en-US"/>
        </w:rPr>
        <w:t xml:space="preserve"> to raise financing in the short term will be supported indirectly, through </w:t>
      </w:r>
      <w:r>
        <w:rPr>
          <w:lang w:val="en-US"/>
        </w:rPr>
        <w:t xml:space="preserve">publicly available resources and </w:t>
      </w:r>
      <w:r w:rsidRPr="002508DF">
        <w:rPr>
          <w:lang w:val="en-US"/>
        </w:rPr>
        <w:t>investment-readiness training provided by partners. The services from the roster of consultants and grants are reserved for companies that need these to unlock finance in the short term (</w:t>
      </w:r>
      <w:proofErr w:type="spellStart"/>
      <w:r w:rsidRPr="002508DF">
        <w:rPr>
          <w:lang w:val="en-US"/>
        </w:rPr>
        <w:t>eg</w:t>
      </w:r>
      <w:proofErr w:type="spellEnd"/>
      <w:r w:rsidRPr="002508DF">
        <w:rPr>
          <w:lang w:val="en-US"/>
        </w:rPr>
        <w:t xml:space="preserve">, to close concrete deals).  </w:t>
      </w:r>
    </w:p>
    <w:p w14:paraId="424BF028" w14:textId="77777777" w:rsidR="002C2219" w:rsidRDefault="002C2219" w:rsidP="00131BBF">
      <w:pPr>
        <w:pStyle w:val="Heading2"/>
        <w:numPr>
          <w:ilvl w:val="0"/>
          <w:numId w:val="0"/>
        </w:numPr>
        <w:ind w:left="426" w:hanging="426"/>
        <w:rPr>
          <w:lang w:val="en-US"/>
        </w:rPr>
      </w:pPr>
      <w:r>
        <w:rPr>
          <w:lang w:val="en-US"/>
        </w:rPr>
        <w:t>Publicly available resources</w:t>
      </w:r>
    </w:p>
    <w:p w14:paraId="76491388" w14:textId="77777777" w:rsidR="002C2219" w:rsidRPr="005C5B29" w:rsidRDefault="002C2219" w:rsidP="002C2219">
      <w:pPr>
        <w:pStyle w:val="ListParagraph"/>
        <w:numPr>
          <w:ilvl w:val="0"/>
          <w:numId w:val="1"/>
        </w:numPr>
        <w:rPr>
          <w:lang w:val="en-US"/>
        </w:rPr>
      </w:pPr>
      <w:r w:rsidRPr="00F64DAE">
        <w:rPr>
          <w:lang w:val="en-US"/>
        </w:rPr>
        <w:t xml:space="preserve">Not subject to company applications. The </w:t>
      </w:r>
      <w:r>
        <w:rPr>
          <w:lang w:val="en-US"/>
        </w:rPr>
        <w:t>p</w:t>
      </w:r>
      <w:r w:rsidRPr="00F64DAE">
        <w:rPr>
          <w:lang w:val="en-US"/>
        </w:rPr>
        <w:t>ublicly available resources</w:t>
      </w:r>
      <w:r>
        <w:rPr>
          <w:lang w:val="en-US"/>
        </w:rPr>
        <w:t xml:space="preserve"> that the PPF will support will be strategically selected to support the development of DRE and clean cooking markets in the region. </w:t>
      </w:r>
    </w:p>
    <w:p w14:paraId="6C7F42E9" w14:textId="77777777" w:rsidR="002C2219" w:rsidRPr="002508DF" w:rsidRDefault="002C2219" w:rsidP="00131BBF">
      <w:pPr>
        <w:pStyle w:val="Heading2"/>
        <w:numPr>
          <w:ilvl w:val="0"/>
          <w:numId w:val="0"/>
        </w:numPr>
        <w:ind w:left="426" w:hanging="426"/>
        <w:rPr>
          <w:lang w:val="en-US"/>
        </w:rPr>
      </w:pPr>
      <w:r w:rsidRPr="002508DF">
        <w:rPr>
          <w:lang w:val="en-US"/>
        </w:rPr>
        <w:t>On-demand services from roster of consultants</w:t>
      </w:r>
    </w:p>
    <w:p w14:paraId="6936E43F" w14:textId="05D6EA39" w:rsidR="002C2219" w:rsidRPr="002508DF" w:rsidRDefault="002C2219" w:rsidP="002C2219">
      <w:pPr>
        <w:pStyle w:val="ListParagraph"/>
        <w:numPr>
          <w:ilvl w:val="0"/>
          <w:numId w:val="2"/>
        </w:numPr>
        <w:rPr>
          <w:lang w:val="en-US"/>
        </w:rPr>
      </w:pPr>
      <w:r w:rsidRPr="002508DF">
        <w:rPr>
          <w:lang w:val="en-US"/>
        </w:rPr>
        <w:t xml:space="preserve">Eligibility can be defined in terms of company size (annual revenue, number of customers, etc.) and/or the ticket size of the financing they are looking to raise. </w:t>
      </w:r>
    </w:p>
    <w:p w14:paraId="79DF2B9C" w14:textId="20E4438F" w:rsidR="002C2219" w:rsidRPr="002508DF" w:rsidRDefault="002C2219" w:rsidP="002C2219">
      <w:pPr>
        <w:pStyle w:val="ListParagraph"/>
        <w:numPr>
          <w:ilvl w:val="0"/>
          <w:numId w:val="2"/>
        </w:numPr>
        <w:rPr>
          <w:lang w:val="en-US"/>
        </w:rPr>
      </w:pPr>
      <w:r w:rsidRPr="002508DF">
        <w:rPr>
          <w:lang w:val="en-US"/>
        </w:rPr>
        <w:t xml:space="preserve">Most important criterion is that companies be actively fundraising and that applications be supported by an investor intending to invest in the company or </w:t>
      </w:r>
      <w:r>
        <w:rPr>
          <w:lang w:val="en-US"/>
        </w:rPr>
        <w:t xml:space="preserve">a </w:t>
      </w:r>
      <w:r w:rsidRPr="002508DF">
        <w:rPr>
          <w:lang w:val="en-US"/>
        </w:rPr>
        <w:t>TA provider</w:t>
      </w:r>
      <w:r w:rsidRPr="005C5B29">
        <w:t xml:space="preserve"> </w:t>
      </w:r>
      <w:r>
        <w:t xml:space="preserve">/ </w:t>
      </w:r>
      <w:r w:rsidRPr="005C5B29">
        <w:rPr>
          <w:lang w:val="en-US"/>
        </w:rPr>
        <w:t>“honest broker” financial adviso</w:t>
      </w:r>
      <w:r>
        <w:rPr>
          <w:lang w:val="en-US"/>
        </w:rPr>
        <w:t>r</w:t>
      </w:r>
      <w:r w:rsidRPr="002508DF">
        <w:rPr>
          <w:lang w:val="en-US"/>
        </w:rPr>
        <w:t xml:space="preserve"> supporting the company, confirming the service they are applying for is needed to advance the financing transaction.</w:t>
      </w:r>
    </w:p>
    <w:p w14:paraId="01990101" w14:textId="77777777" w:rsidR="002C2219" w:rsidRPr="002508DF" w:rsidRDefault="002C2219" w:rsidP="002C2219">
      <w:pPr>
        <w:pStyle w:val="ListParagraph"/>
        <w:numPr>
          <w:ilvl w:val="0"/>
          <w:numId w:val="2"/>
        </w:numPr>
        <w:rPr>
          <w:lang w:val="en-US"/>
        </w:rPr>
      </w:pPr>
      <w:r w:rsidRPr="002508DF">
        <w:rPr>
          <w:lang w:val="en-US"/>
        </w:rPr>
        <w:t xml:space="preserve">2-stage application process: a brief concept </w:t>
      </w:r>
      <w:proofErr w:type="gramStart"/>
      <w:r w:rsidRPr="002508DF">
        <w:rPr>
          <w:lang w:val="en-US"/>
        </w:rPr>
        <w:t>note</w:t>
      </w:r>
      <w:proofErr w:type="gramEnd"/>
      <w:r w:rsidRPr="002508DF">
        <w:rPr>
          <w:lang w:val="en-US"/>
        </w:rPr>
        <w:t xml:space="preserve"> explaining needs and </w:t>
      </w:r>
      <w:r>
        <w:rPr>
          <w:lang w:val="en-US"/>
        </w:rPr>
        <w:t xml:space="preserve">TA </w:t>
      </w:r>
      <w:r w:rsidRPr="002508DF">
        <w:rPr>
          <w:lang w:val="en-US"/>
        </w:rPr>
        <w:t xml:space="preserve">request, followed by full application. </w:t>
      </w:r>
    </w:p>
    <w:p w14:paraId="65C82441" w14:textId="700076EC" w:rsidR="002C2219" w:rsidRPr="002508DF" w:rsidRDefault="002C2219" w:rsidP="002C2219">
      <w:pPr>
        <w:pStyle w:val="ListParagraph"/>
        <w:numPr>
          <w:ilvl w:val="0"/>
          <w:numId w:val="2"/>
        </w:numPr>
        <w:rPr>
          <w:lang w:val="en-US"/>
        </w:rPr>
      </w:pPr>
      <w:r w:rsidRPr="002508DF">
        <w:rPr>
          <w:lang w:val="en-US"/>
        </w:rPr>
        <w:t>If proposals are approved, COMESA assigns expert from roster and monitors implementation progress. Proposals that are not deemed eligible for support may be directed to TA support services that are more relevant to them, such as cohort-based training from industry associations or one-on-one finance advisory.</w:t>
      </w:r>
    </w:p>
    <w:p w14:paraId="4A23C7DA" w14:textId="77777777" w:rsidR="002C2219" w:rsidRPr="002508DF" w:rsidRDefault="002C2219" w:rsidP="002C2219">
      <w:pPr>
        <w:pStyle w:val="ListParagraph"/>
        <w:numPr>
          <w:ilvl w:val="0"/>
          <w:numId w:val="2"/>
        </w:numPr>
        <w:rPr>
          <w:lang w:val="en-US"/>
        </w:rPr>
      </w:pPr>
      <w:r w:rsidRPr="002508DF">
        <w:rPr>
          <w:lang w:val="en-US"/>
        </w:rPr>
        <w:t>Companies produce a completion report upon finalization of PPF activity</w:t>
      </w:r>
    </w:p>
    <w:p w14:paraId="59B6CD43" w14:textId="6B126E25" w:rsidR="002C2219" w:rsidRPr="002508DF" w:rsidRDefault="002C2219" w:rsidP="002C2219">
      <w:pPr>
        <w:pStyle w:val="ListParagraph"/>
        <w:numPr>
          <w:ilvl w:val="0"/>
          <w:numId w:val="2"/>
        </w:numPr>
        <w:rPr>
          <w:lang w:val="en-US"/>
        </w:rPr>
      </w:pPr>
      <w:r w:rsidRPr="002508DF">
        <w:rPr>
          <w:lang w:val="en-US"/>
        </w:rPr>
        <w:t>Expected cost per company supported / per support package: $</w:t>
      </w:r>
      <w:r>
        <w:rPr>
          <w:lang w:val="en-US"/>
        </w:rPr>
        <w:t>3</w:t>
      </w:r>
      <w:r w:rsidRPr="002508DF">
        <w:rPr>
          <w:lang w:val="en-US"/>
        </w:rPr>
        <w:t>0-</w:t>
      </w:r>
      <w:r>
        <w:rPr>
          <w:lang w:val="en-US"/>
        </w:rPr>
        <w:t>6</w:t>
      </w:r>
      <w:r w:rsidRPr="002508DF">
        <w:rPr>
          <w:lang w:val="en-US"/>
        </w:rPr>
        <w:t>0k</w:t>
      </w:r>
    </w:p>
    <w:p w14:paraId="54ED5FBA" w14:textId="77777777" w:rsidR="002C2219" w:rsidRPr="002508DF" w:rsidRDefault="002C2219" w:rsidP="00131BBF">
      <w:pPr>
        <w:pStyle w:val="Heading2"/>
        <w:numPr>
          <w:ilvl w:val="0"/>
          <w:numId w:val="0"/>
        </w:numPr>
        <w:ind w:left="426" w:hanging="426"/>
        <w:rPr>
          <w:lang w:val="en-US"/>
        </w:rPr>
      </w:pPr>
      <w:r w:rsidRPr="002508DF">
        <w:rPr>
          <w:lang w:val="en-US"/>
        </w:rPr>
        <w:t>Grants to companies for project preparation and business development</w:t>
      </w:r>
    </w:p>
    <w:p w14:paraId="317E3AFD" w14:textId="77777777" w:rsidR="002C2219" w:rsidRPr="002508DF" w:rsidRDefault="002C2219" w:rsidP="002C2219">
      <w:pPr>
        <w:pStyle w:val="ListParagraph"/>
        <w:numPr>
          <w:ilvl w:val="0"/>
          <w:numId w:val="2"/>
        </w:numPr>
        <w:rPr>
          <w:lang w:val="en-US"/>
        </w:rPr>
      </w:pPr>
      <w:r w:rsidRPr="002508DF">
        <w:rPr>
          <w:lang w:val="en-US"/>
        </w:rPr>
        <w:t>Eligibility criteria and application process can be the same as for the services from the roster of experts.</w:t>
      </w:r>
    </w:p>
    <w:p w14:paraId="52A9BC46" w14:textId="77777777" w:rsidR="002C2219" w:rsidRPr="002508DF" w:rsidRDefault="002C2219" w:rsidP="002C2219">
      <w:pPr>
        <w:pStyle w:val="ListParagraph"/>
        <w:numPr>
          <w:ilvl w:val="0"/>
          <w:numId w:val="2"/>
        </w:numPr>
        <w:rPr>
          <w:lang w:val="en-US"/>
        </w:rPr>
      </w:pPr>
      <w:r w:rsidRPr="002508DF">
        <w:rPr>
          <w:lang w:val="en-US"/>
        </w:rPr>
        <w:t xml:space="preserve">Eligible uses for grant funding can include a variety of activities that are not included in the services </w:t>
      </w:r>
      <w:proofErr w:type="gramStart"/>
      <w:r w:rsidRPr="002508DF">
        <w:rPr>
          <w:lang w:val="en-US"/>
        </w:rPr>
        <w:t>from</w:t>
      </w:r>
      <w:proofErr w:type="gramEnd"/>
      <w:r w:rsidRPr="002508DF">
        <w:rPr>
          <w:lang w:val="en-US"/>
        </w:rPr>
        <w:t xml:space="preserve"> the roster of experts and are expected to have a critical role in advancing a financing transaction. Such activities may include:</w:t>
      </w:r>
    </w:p>
    <w:p w14:paraId="54A8A464" w14:textId="77777777" w:rsidR="002C2219" w:rsidRPr="002508DF" w:rsidRDefault="002C2219" w:rsidP="002C2219">
      <w:pPr>
        <w:pStyle w:val="ListParagraph"/>
        <w:numPr>
          <w:ilvl w:val="1"/>
          <w:numId w:val="2"/>
        </w:numPr>
        <w:rPr>
          <w:lang w:val="en-US"/>
        </w:rPr>
      </w:pPr>
      <w:r w:rsidRPr="002508DF">
        <w:rPr>
          <w:lang w:val="en-US"/>
        </w:rPr>
        <w:t xml:space="preserve">Subsidizing salary of key staff, </w:t>
      </w:r>
      <w:proofErr w:type="spellStart"/>
      <w:r w:rsidRPr="002508DF">
        <w:rPr>
          <w:lang w:val="en-US"/>
        </w:rPr>
        <w:t>eg</w:t>
      </w:r>
      <w:proofErr w:type="spellEnd"/>
      <w:r w:rsidRPr="002508DF">
        <w:rPr>
          <w:lang w:val="en-US"/>
        </w:rPr>
        <w:t xml:space="preserve"> a chief finance officer, over a reasonable period (until the financing they raise </w:t>
      </w:r>
      <w:proofErr w:type="gramStart"/>
      <w:r w:rsidRPr="002508DF">
        <w:rPr>
          <w:lang w:val="en-US"/>
        </w:rPr>
        <w:t>allows</w:t>
      </w:r>
      <w:proofErr w:type="gramEnd"/>
      <w:r w:rsidRPr="002508DF">
        <w:rPr>
          <w:lang w:val="en-US"/>
        </w:rPr>
        <w:t xml:space="preserve"> to pay for their own salary)</w:t>
      </w:r>
    </w:p>
    <w:p w14:paraId="64B77DCC" w14:textId="77777777" w:rsidR="002C2219" w:rsidRPr="002508DF" w:rsidRDefault="002C2219" w:rsidP="002C2219">
      <w:pPr>
        <w:pStyle w:val="ListParagraph"/>
        <w:numPr>
          <w:ilvl w:val="1"/>
          <w:numId w:val="2"/>
        </w:numPr>
        <w:rPr>
          <w:lang w:val="en-US"/>
        </w:rPr>
      </w:pPr>
      <w:r w:rsidRPr="002508DF">
        <w:rPr>
          <w:lang w:val="en-US"/>
        </w:rPr>
        <w:t>Testing a new product line or a new market segment for which the company is raising finance</w:t>
      </w:r>
    </w:p>
    <w:p w14:paraId="6E61E368" w14:textId="77777777" w:rsidR="002C2219" w:rsidRPr="002508DF" w:rsidRDefault="002C2219" w:rsidP="002C2219">
      <w:pPr>
        <w:pStyle w:val="ListParagraph"/>
        <w:numPr>
          <w:ilvl w:val="1"/>
          <w:numId w:val="2"/>
        </w:numPr>
        <w:rPr>
          <w:lang w:val="en-US"/>
        </w:rPr>
      </w:pPr>
      <w:r w:rsidRPr="002508DF">
        <w:rPr>
          <w:lang w:val="en-US"/>
        </w:rPr>
        <w:t>Integrating new software and technology to digitize operations and conduct data analytics to improve business performance</w:t>
      </w:r>
    </w:p>
    <w:p w14:paraId="3C5E06FD" w14:textId="77777777" w:rsidR="002C2219" w:rsidRPr="002508DF" w:rsidRDefault="002C2219" w:rsidP="002C2219">
      <w:pPr>
        <w:pStyle w:val="ListParagraph"/>
        <w:numPr>
          <w:ilvl w:val="0"/>
          <w:numId w:val="2"/>
        </w:numPr>
        <w:rPr>
          <w:lang w:val="en-US"/>
        </w:rPr>
      </w:pPr>
      <w:r w:rsidRPr="002508DF">
        <w:rPr>
          <w:lang w:val="en-US"/>
        </w:rPr>
        <w:t>A cash contribution from companies will be needed to match grants from the facility</w:t>
      </w:r>
    </w:p>
    <w:p w14:paraId="7E3EFBA3" w14:textId="77777777" w:rsidR="002C2219" w:rsidRDefault="002C2219" w:rsidP="002C2219">
      <w:pPr>
        <w:pStyle w:val="ListParagraph"/>
        <w:numPr>
          <w:ilvl w:val="0"/>
          <w:numId w:val="2"/>
        </w:numPr>
        <w:rPr>
          <w:lang w:val="en-US"/>
        </w:rPr>
      </w:pPr>
      <w:r>
        <w:rPr>
          <w:lang w:val="en-US"/>
        </w:rPr>
        <w:t xml:space="preserve">The disbursement of the grant will be milestone based (from one to three milestones depending on the activity and amount of funding requested, </w:t>
      </w:r>
      <w:proofErr w:type="spellStart"/>
      <w:r>
        <w:rPr>
          <w:lang w:val="en-US"/>
        </w:rPr>
        <w:t>eg</w:t>
      </w:r>
      <w:proofErr w:type="spellEnd"/>
      <w:r>
        <w:rPr>
          <w:lang w:val="en-US"/>
        </w:rPr>
        <w:t xml:space="preserve"> upon contract </w:t>
      </w:r>
      <w:proofErr w:type="spellStart"/>
      <w:r>
        <w:rPr>
          <w:lang w:val="en-US"/>
        </w:rPr>
        <w:t>contract</w:t>
      </w:r>
      <w:proofErr w:type="spellEnd"/>
      <w:r>
        <w:rPr>
          <w:lang w:val="en-US"/>
        </w:rPr>
        <w:t xml:space="preserve"> signature, following the acquisition of the product or service of the scope of their application, and with the final report).   </w:t>
      </w:r>
    </w:p>
    <w:p w14:paraId="5148935A" w14:textId="77777777" w:rsidR="002C2219" w:rsidRPr="002508DF" w:rsidRDefault="002C2219" w:rsidP="002C2219">
      <w:pPr>
        <w:pStyle w:val="ListParagraph"/>
        <w:numPr>
          <w:ilvl w:val="0"/>
          <w:numId w:val="2"/>
        </w:numPr>
        <w:rPr>
          <w:lang w:val="en-US"/>
        </w:rPr>
      </w:pPr>
      <w:r w:rsidRPr="002508DF">
        <w:rPr>
          <w:lang w:val="en-US"/>
        </w:rPr>
        <w:t>Companies produce a completion report upon finalization of PPF activity</w:t>
      </w:r>
    </w:p>
    <w:p w14:paraId="6849B657" w14:textId="77777777" w:rsidR="002C2219" w:rsidRPr="002508DF" w:rsidRDefault="002C2219" w:rsidP="002C2219">
      <w:pPr>
        <w:pStyle w:val="ListParagraph"/>
        <w:numPr>
          <w:ilvl w:val="0"/>
          <w:numId w:val="2"/>
        </w:numPr>
        <w:rPr>
          <w:lang w:val="en-US"/>
        </w:rPr>
      </w:pPr>
      <w:r w:rsidRPr="002508DF">
        <w:rPr>
          <w:lang w:val="en-US"/>
        </w:rPr>
        <w:t>Expected cost per company supported / per support package: $</w:t>
      </w:r>
      <w:r>
        <w:rPr>
          <w:lang w:val="en-US"/>
        </w:rPr>
        <w:t>5</w:t>
      </w:r>
      <w:r w:rsidRPr="002508DF">
        <w:rPr>
          <w:lang w:val="en-US"/>
        </w:rPr>
        <w:t>0-</w:t>
      </w:r>
      <w:r>
        <w:rPr>
          <w:lang w:val="en-US"/>
        </w:rPr>
        <w:t>15</w:t>
      </w:r>
      <w:r w:rsidRPr="002508DF">
        <w:rPr>
          <w:lang w:val="en-US"/>
        </w:rPr>
        <w:t>0k</w:t>
      </w:r>
    </w:p>
    <w:p w14:paraId="6EE50EDB" w14:textId="77777777" w:rsidR="002C2219" w:rsidRPr="002508DF" w:rsidRDefault="002C2219" w:rsidP="002C2219">
      <w:pPr>
        <w:pBdr>
          <w:top w:val="single" w:sz="4" w:space="1" w:color="auto"/>
          <w:left w:val="single" w:sz="4" w:space="4" w:color="auto"/>
          <w:bottom w:val="single" w:sz="4" w:space="1" w:color="auto"/>
          <w:right w:val="single" w:sz="4" w:space="4" w:color="auto"/>
        </w:pBdr>
        <w:shd w:val="clear" w:color="auto" w:fill="D9E2F3" w:themeFill="accent1" w:themeFillTint="33"/>
        <w:rPr>
          <w:lang w:val="en-US"/>
        </w:rPr>
      </w:pPr>
      <w:r w:rsidRPr="002508DF">
        <w:rPr>
          <w:i/>
          <w:iCs/>
          <w:lang w:val="en-US"/>
        </w:rPr>
        <w:t xml:space="preserve">Maximum allocation of PPF funding per company: </w:t>
      </w:r>
      <w:r w:rsidRPr="002508DF">
        <w:rPr>
          <w:lang w:val="en-US"/>
        </w:rPr>
        <w:t>companies will be eligible to apply for both services from the roster of experts and grants, provided the total allocation to the same company does not exceed [$200,000].</w:t>
      </w:r>
    </w:p>
    <w:p w14:paraId="6477CCEF" w14:textId="77777777" w:rsidR="002C2219" w:rsidRPr="002508DF" w:rsidRDefault="002C2219" w:rsidP="00131BBF">
      <w:pPr>
        <w:pStyle w:val="Heading2"/>
        <w:numPr>
          <w:ilvl w:val="0"/>
          <w:numId w:val="0"/>
        </w:numPr>
        <w:ind w:left="426" w:hanging="426"/>
        <w:rPr>
          <w:lang w:val="en-US"/>
        </w:rPr>
      </w:pPr>
      <w:bookmarkStart w:id="2" w:name="_Ref176359932"/>
      <w:r w:rsidRPr="002508DF">
        <w:rPr>
          <w:lang w:val="en-US"/>
        </w:rPr>
        <w:t>Grants to TA providers and investors for project preparation and business development</w:t>
      </w:r>
      <w:bookmarkEnd w:id="2"/>
    </w:p>
    <w:p w14:paraId="62FDE3E2" w14:textId="77777777" w:rsidR="002C2219" w:rsidRPr="002508DF" w:rsidRDefault="002C2219" w:rsidP="002C2219">
      <w:pPr>
        <w:pStyle w:val="ListParagraph"/>
        <w:numPr>
          <w:ilvl w:val="0"/>
          <w:numId w:val="2"/>
        </w:numPr>
        <w:rPr>
          <w:lang w:val="en-US"/>
        </w:rPr>
      </w:pPr>
      <w:r w:rsidRPr="002508DF">
        <w:rPr>
          <w:lang w:val="en-US"/>
        </w:rPr>
        <w:t>Organizations providing TA services to eligible companies</w:t>
      </w:r>
      <w:r w:rsidRPr="002508DF">
        <w:rPr>
          <w:rStyle w:val="FootnoteReference"/>
          <w:lang w:val="en-US"/>
        </w:rPr>
        <w:footnoteReference w:id="5"/>
      </w:r>
      <w:r w:rsidRPr="002508DF">
        <w:rPr>
          <w:lang w:val="en-US"/>
        </w:rPr>
        <w:t xml:space="preserve"> with the shared objective of improving access to finance are eligible to apply for grants from the PPF to fund their activities. This may include, for example, an industry association providing investment-readiness training </w:t>
      </w:r>
      <w:proofErr w:type="gramStart"/>
      <w:r w:rsidRPr="002508DF">
        <w:rPr>
          <w:lang w:val="en-US"/>
        </w:rPr>
        <w:t>to</w:t>
      </w:r>
      <w:proofErr w:type="gramEnd"/>
      <w:r w:rsidRPr="002508DF">
        <w:rPr>
          <w:lang w:val="en-US"/>
        </w:rPr>
        <w:t xml:space="preserve"> their members. </w:t>
      </w:r>
    </w:p>
    <w:p w14:paraId="411C46FE" w14:textId="77777777" w:rsidR="002C2219" w:rsidRPr="002508DF" w:rsidRDefault="002C2219" w:rsidP="002C2219">
      <w:pPr>
        <w:pStyle w:val="ListParagraph"/>
        <w:numPr>
          <w:ilvl w:val="0"/>
          <w:numId w:val="2"/>
        </w:numPr>
        <w:rPr>
          <w:lang w:val="en-US"/>
        </w:rPr>
      </w:pPr>
      <w:r w:rsidRPr="002508DF">
        <w:rPr>
          <w:lang w:val="en-US"/>
        </w:rPr>
        <w:t xml:space="preserve">Investors investing in eligible companies may also request grants on behalf of their investees, </w:t>
      </w:r>
      <w:proofErr w:type="spellStart"/>
      <w:r w:rsidRPr="002508DF">
        <w:rPr>
          <w:lang w:val="en-US"/>
        </w:rPr>
        <w:t>eg</w:t>
      </w:r>
      <w:proofErr w:type="spellEnd"/>
      <w:r w:rsidRPr="002508DF">
        <w:rPr>
          <w:lang w:val="en-US"/>
        </w:rPr>
        <w:t xml:space="preserve"> to subsidize the cost of interim CFOs. They may also request grants to cover their due diligence and transaction costs related to investing in eligible companies.    </w:t>
      </w:r>
    </w:p>
    <w:p w14:paraId="74DC5BB5" w14:textId="77777777" w:rsidR="002C2219" w:rsidRPr="002508DF" w:rsidRDefault="002C2219" w:rsidP="002C2219">
      <w:pPr>
        <w:pStyle w:val="ListParagraph"/>
        <w:numPr>
          <w:ilvl w:val="0"/>
          <w:numId w:val="2"/>
        </w:numPr>
        <w:rPr>
          <w:lang w:val="en-US"/>
        </w:rPr>
      </w:pPr>
      <w:r w:rsidRPr="002508DF">
        <w:rPr>
          <w:lang w:val="en-US"/>
        </w:rPr>
        <w:t xml:space="preserve">Organizations applying for grants will also go through a 2-stage application process, including concept note and full application. </w:t>
      </w:r>
    </w:p>
    <w:p w14:paraId="44B71C00" w14:textId="77777777" w:rsidR="002C2219" w:rsidRDefault="002C2219" w:rsidP="002C2219">
      <w:pPr>
        <w:pStyle w:val="ListParagraph"/>
        <w:numPr>
          <w:ilvl w:val="0"/>
          <w:numId w:val="2"/>
        </w:numPr>
        <w:rPr>
          <w:lang w:val="en-US"/>
        </w:rPr>
      </w:pPr>
      <w:r w:rsidRPr="002508DF">
        <w:rPr>
          <w:lang w:val="en-US"/>
        </w:rPr>
        <w:t>If proposals are approved, COMESA approves grant and monitors implementation progress.</w:t>
      </w:r>
    </w:p>
    <w:p w14:paraId="3FB9FF8C" w14:textId="77777777" w:rsidR="002C2219" w:rsidRPr="006A4269" w:rsidRDefault="002C2219" w:rsidP="002C2219">
      <w:pPr>
        <w:pStyle w:val="ListParagraph"/>
        <w:numPr>
          <w:ilvl w:val="0"/>
          <w:numId w:val="2"/>
        </w:numPr>
        <w:rPr>
          <w:lang w:val="en-US"/>
        </w:rPr>
      </w:pPr>
      <w:r>
        <w:rPr>
          <w:lang w:val="en-US"/>
        </w:rPr>
        <w:t xml:space="preserve">The disbursement of the grant will be milestone based (from one to three milestones depending on the activity and amount of funding requested).   </w:t>
      </w:r>
    </w:p>
    <w:p w14:paraId="5D8D65A4" w14:textId="77777777" w:rsidR="002C2219" w:rsidRPr="002508DF" w:rsidRDefault="002C2219" w:rsidP="002C2219">
      <w:pPr>
        <w:pStyle w:val="ListParagraph"/>
        <w:numPr>
          <w:ilvl w:val="0"/>
          <w:numId w:val="2"/>
        </w:numPr>
        <w:rPr>
          <w:lang w:val="en-US"/>
        </w:rPr>
      </w:pPr>
      <w:r w:rsidRPr="002508DF">
        <w:rPr>
          <w:lang w:val="en-US"/>
        </w:rPr>
        <w:t>Organizations produce a completion report upon finalization of PPF activity</w:t>
      </w:r>
    </w:p>
    <w:p w14:paraId="14811EDF" w14:textId="3D186C24" w:rsidR="002C2219" w:rsidRPr="002508DF" w:rsidRDefault="002C2219" w:rsidP="002C2219">
      <w:pPr>
        <w:pStyle w:val="ListParagraph"/>
        <w:numPr>
          <w:ilvl w:val="0"/>
          <w:numId w:val="2"/>
        </w:numPr>
        <w:rPr>
          <w:lang w:val="en-US"/>
        </w:rPr>
      </w:pPr>
      <w:r w:rsidRPr="002508DF">
        <w:rPr>
          <w:lang w:val="en-US"/>
        </w:rPr>
        <w:t>Expected cost per organization applying: $</w:t>
      </w:r>
      <w:r>
        <w:rPr>
          <w:lang w:val="en-US"/>
        </w:rPr>
        <w:t>2</w:t>
      </w:r>
      <w:r w:rsidRPr="002508DF">
        <w:rPr>
          <w:lang w:val="en-US"/>
        </w:rPr>
        <w:t>00k-1m</w:t>
      </w:r>
    </w:p>
    <w:p w14:paraId="7BB35290" w14:textId="0787710F" w:rsidR="00D86C19" w:rsidRPr="002508DF" w:rsidRDefault="00D86C19" w:rsidP="00D86C19">
      <w:pPr>
        <w:pStyle w:val="Caption"/>
        <w:rPr>
          <w:lang w:val="en-US"/>
        </w:rPr>
      </w:pPr>
      <w:r w:rsidRPr="002508DF">
        <w:rPr>
          <w:lang w:val="en-US"/>
        </w:rPr>
        <w:t xml:space="preserve">Table </w:t>
      </w:r>
      <w:r w:rsidRPr="002508DF">
        <w:rPr>
          <w:lang w:val="en-US"/>
        </w:rPr>
        <w:fldChar w:fldCharType="begin"/>
      </w:r>
      <w:r w:rsidRPr="002508DF">
        <w:rPr>
          <w:lang w:val="en-US"/>
        </w:rPr>
        <w:instrText xml:space="preserve"> SEQ Table \* ARABIC </w:instrText>
      </w:r>
      <w:r w:rsidRPr="002508DF">
        <w:rPr>
          <w:lang w:val="en-US"/>
        </w:rPr>
        <w:fldChar w:fldCharType="separate"/>
      </w:r>
      <w:r w:rsidR="00C06C47">
        <w:rPr>
          <w:noProof/>
          <w:lang w:val="en-US"/>
        </w:rPr>
        <w:t>4</w:t>
      </w:r>
      <w:r w:rsidRPr="002508DF">
        <w:rPr>
          <w:lang w:val="en-US"/>
        </w:rPr>
        <w:fldChar w:fldCharType="end"/>
      </w:r>
      <w:r w:rsidRPr="002508DF">
        <w:rPr>
          <w:lang w:val="en-US"/>
        </w:rPr>
        <w:t>: Specific areas for specialized support (roster of experts) – initial non exhaustive list</w:t>
      </w:r>
    </w:p>
    <w:tbl>
      <w:tblPr>
        <w:tblStyle w:val="TableGrid"/>
        <w:tblW w:w="9067" w:type="dxa"/>
        <w:tblLook w:val="04A0" w:firstRow="1" w:lastRow="0" w:firstColumn="1" w:lastColumn="0" w:noHBand="0" w:noVBand="1"/>
      </w:tblPr>
      <w:tblGrid>
        <w:gridCol w:w="1555"/>
        <w:gridCol w:w="7512"/>
      </w:tblGrid>
      <w:tr w:rsidR="00F42B53" w:rsidRPr="002508DF" w14:paraId="0E175D08" w14:textId="77777777" w:rsidTr="00F42B53">
        <w:tc>
          <w:tcPr>
            <w:tcW w:w="1555" w:type="dxa"/>
          </w:tcPr>
          <w:p w14:paraId="67539BBB" w14:textId="25A39218" w:rsidR="00F42B53" w:rsidRPr="002508DF" w:rsidRDefault="00F42B53" w:rsidP="00D86C19">
            <w:pPr>
              <w:rPr>
                <w:sz w:val="20"/>
                <w:szCs w:val="20"/>
                <w:lang w:val="en-US"/>
              </w:rPr>
            </w:pPr>
            <w:r w:rsidRPr="002508DF">
              <w:rPr>
                <w:sz w:val="20"/>
                <w:szCs w:val="20"/>
                <w:lang w:val="en-US"/>
              </w:rPr>
              <w:t>Service category</w:t>
            </w:r>
          </w:p>
        </w:tc>
        <w:tc>
          <w:tcPr>
            <w:tcW w:w="7512" w:type="dxa"/>
          </w:tcPr>
          <w:p w14:paraId="0D8A3944" w14:textId="208AFFEB" w:rsidR="00F42B53" w:rsidRPr="002508DF" w:rsidRDefault="00F42B53" w:rsidP="00D86C19">
            <w:pPr>
              <w:rPr>
                <w:sz w:val="20"/>
                <w:szCs w:val="20"/>
                <w:lang w:val="en-US"/>
              </w:rPr>
            </w:pPr>
            <w:r w:rsidRPr="002508DF">
              <w:rPr>
                <w:sz w:val="20"/>
                <w:szCs w:val="20"/>
                <w:lang w:val="en-US"/>
              </w:rPr>
              <w:t>Details</w:t>
            </w:r>
          </w:p>
        </w:tc>
      </w:tr>
      <w:tr w:rsidR="00F42B53" w:rsidRPr="002508DF" w14:paraId="545B18E8" w14:textId="77777777" w:rsidTr="00F42B53">
        <w:tc>
          <w:tcPr>
            <w:tcW w:w="1555" w:type="dxa"/>
            <w:vMerge w:val="restart"/>
          </w:tcPr>
          <w:p w14:paraId="4047AEE2" w14:textId="14423118" w:rsidR="00F42B53" w:rsidRPr="002508DF" w:rsidRDefault="00F42B53" w:rsidP="00044497">
            <w:pPr>
              <w:rPr>
                <w:sz w:val="20"/>
                <w:szCs w:val="20"/>
                <w:lang w:val="en-US"/>
              </w:rPr>
            </w:pPr>
            <w:r w:rsidRPr="002508DF">
              <w:rPr>
                <w:sz w:val="20"/>
                <w:szCs w:val="20"/>
                <w:lang w:val="en-US"/>
              </w:rPr>
              <w:t xml:space="preserve">Support </w:t>
            </w:r>
            <w:proofErr w:type="gramStart"/>
            <w:r w:rsidRPr="002508DF">
              <w:rPr>
                <w:sz w:val="20"/>
                <w:szCs w:val="20"/>
                <w:lang w:val="en-US"/>
              </w:rPr>
              <w:t>to</w:t>
            </w:r>
            <w:proofErr w:type="gramEnd"/>
            <w:r w:rsidRPr="002508DF">
              <w:rPr>
                <w:sz w:val="20"/>
                <w:szCs w:val="20"/>
                <w:lang w:val="en-US"/>
              </w:rPr>
              <w:t xml:space="preserve"> investment transactions</w:t>
            </w:r>
          </w:p>
        </w:tc>
        <w:tc>
          <w:tcPr>
            <w:tcW w:w="7512" w:type="dxa"/>
            <w:shd w:val="clear" w:color="auto" w:fill="D9E2F3" w:themeFill="accent1" w:themeFillTint="33"/>
          </w:tcPr>
          <w:p w14:paraId="190CEAA5" w14:textId="6434E658" w:rsidR="00F42B53" w:rsidRPr="002508DF" w:rsidRDefault="00F42B53" w:rsidP="00044497">
            <w:pPr>
              <w:rPr>
                <w:sz w:val="20"/>
                <w:szCs w:val="20"/>
                <w:lang w:val="en-US"/>
              </w:rPr>
            </w:pPr>
            <w:r w:rsidRPr="002508DF">
              <w:rPr>
                <w:sz w:val="20"/>
                <w:szCs w:val="20"/>
                <w:lang w:val="en-US"/>
              </w:rPr>
              <w:t>Transaction advisory and legal support services. Contract negotiations, term sheets, contractual agreements, etc.</w:t>
            </w:r>
          </w:p>
        </w:tc>
      </w:tr>
      <w:tr w:rsidR="00F42B53" w:rsidRPr="002508DF" w14:paraId="52F80DB9" w14:textId="77777777" w:rsidTr="00F42B53">
        <w:tc>
          <w:tcPr>
            <w:tcW w:w="1555" w:type="dxa"/>
            <w:vMerge/>
          </w:tcPr>
          <w:p w14:paraId="5D9251A1" w14:textId="77777777" w:rsidR="00F42B53" w:rsidRPr="002508DF" w:rsidRDefault="00F42B53" w:rsidP="00044497">
            <w:pPr>
              <w:rPr>
                <w:sz w:val="20"/>
                <w:szCs w:val="20"/>
                <w:lang w:val="en-US"/>
              </w:rPr>
            </w:pPr>
          </w:p>
        </w:tc>
        <w:tc>
          <w:tcPr>
            <w:tcW w:w="7512" w:type="dxa"/>
            <w:shd w:val="clear" w:color="auto" w:fill="D9E2F3" w:themeFill="accent1" w:themeFillTint="33"/>
          </w:tcPr>
          <w:p w14:paraId="515270FE" w14:textId="6FC052DC" w:rsidR="00F42B53" w:rsidRPr="002508DF" w:rsidRDefault="00F42B53" w:rsidP="00044497">
            <w:pPr>
              <w:rPr>
                <w:sz w:val="20"/>
                <w:szCs w:val="20"/>
                <w:lang w:val="en-US"/>
              </w:rPr>
            </w:pPr>
            <w:r w:rsidRPr="002508DF">
              <w:rPr>
                <w:sz w:val="20"/>
                <w:szCs w:val="20"/>
                <w:lang w:val="en-US"/>
              </w:rPr>
              <w:t>Legal services. Legal advisory services to unlock investment.</w:t>
            </w:r>
          </w:p>
        </w:tc>
      </w:tr>
      <w:tr w:rsidR="00F42B53" w:rsidRPr="002508DF" w14:paraId="220E0E23" w14:textId="77777777" w:rsidTr="00F42B53">
        <w:tc>
          <w:tcPr>
            <w:tcW w:w="1555" w:type="dxa"/>
            <w:vMerge/>
          </w:tcPr>
          <w:p w14:paraId="45D76063" w14:textId="77777777" w:rsidR="00F42B53" w:rsidRPr="002508DF" w:rsidRDefault="00F42B53" w:rsidP="00044497">
            <w:pPr>
              <w:rPr>
                <w:sz w:val="20"/>
                <w:szCs w:val="20"/>
                <w:lang w:val="en-US"/>
              </w:rPr>
            </w:pPr>
          </w:p>
        </w:tc>
        <w:tc>
          <w:tcPr>
            <w:tcW w:w="7512" w:type="dxa"/>
            <w:shd w:val="clear" w:color="auto" w:fill="D9E2F3" w:themeFill="accent1" w:themeFillTint="33"/>
          </w:tcPr>
          <w:p w14:paraId="72998337" w14:textId="1CC014B4" w:rsidR="00F42B53" w:rsidRPr="002508DF" w:rsidRDefault="00F42B53" w:rsidP="00044497">
            <w:pPr>
              <w:rPr>
                <w:sz w:val="20"/>
                <w:szCs w:val="20"/>
                <w:lang w:val="en-US"/>
              </w:rPr>
            </w:pPr>
            <w:r w:rsidRPr="002508DF">
              <w:rPr>
                <w:sz w:val="20"/>
                <w:szCs w:val="20"/>
                <w:lang w:val="en-US"/>
              </w:rPr>
              <w:t>Feasibility studies or other investment-grade studies needed to unlock investment</w:t>
            </w:r>
          </w:p>
        </w:tc>
      </w:tr>
      <w:tr w:rsidR="00F42B53" w:rsidRPr="002508DF" w14:paraId="6C25B84A" w14:textId="77777777" w:rsidTr="00F42B53">
        <w:tc>
          <w:tcPr>
            <w:tcW w:w="1555" w:type="dxa"/>
            <w:vMerge/>
          </w:tcPr>
          <w:p w14:paraId="13C8D81C" w14:textId="77777777" w:rsidR="00F42B53" w:rsidRPr="002508DF" w:rsidRDefault="00F42B53" w:rsidP="00044497">
            <w:pPr>
              <w:rPr>
                <w:sz w:val="20"/>
                <w:szCs w:val="20"/>
                <w:lang w:val="en-US"/>
              </w:rPr>
            </w:pPr>
          </w:p>
        </w:tc>
        <w:tc>
          <w:tcPr>
            <w:tcW w:w="7512" w:type="dxa"/>
            <w:shd w:val="clear" w:color="auto" w:fill="D9E2F3" w:themeFill="accent1" w:themeFillTint="33"/>
          </w:tcPr>
          <w:p w14:paraId="1B1765D1" w14:textId="019BE841" w:rsidR="00F42B53" w:rsidRPr="002508DF" w:rsidRDefault="00F42B53" w:rsidP="00044497">
            <w:pPr>
              <w:rPr>
                <w:sz w:val="20"/>
                <w:szCs w:val="20"/>
                <w:lang w:val="en-US"/>
              </w:rPr>
            </w:pPr>
            <w:r w:rsidRPr="002508DF">
              <w:rPr>
                <w:sz w:val="20"/>
                <w:szCs w:val="20"/>
                <w:lang w:val="en-US"/>
              </w:rPr>
              <w:t>Producing financial reporting requirements of potential investors</w:t>
            </w:r>
          </w:p>
        </w:tc>
      </w:tr>
      <w:tr w:rsidR="00F42B53" w:rsidRPr="002508DF" w14:paraId="7B5CD786" w14:textId="77777777" w:rsidTr="00F42B53">
        <w:tc>
          <w:tcPr>
            <w:tcW w:w="1555" w:type="dxa"/>
            <w:vMerge/>
          </w:tcPr>
          <w:p w14:paraId="2767C844" w14:textId="77777777" w:rsidR="00F42B53" w:rsidRPr="002508DF" w:rsidRDefault="00F42B53" w:rsidP="00044497">
            <w:pPr>
              <w:rPr>
                <w:sz w:val="20"/>
                <w:szCs w:val="20"/>
                <w:lang w:val="en-US"/>
              </w:rPr>
            </w:pPr>
          </w:p>
        </w:tc>
        <w:tc>
          <w:tcPr>
            <w:tcW w:w="7512" w:type="dxa"/>
            <w:shd w:val="clear" w:color="auto" w:fill="D9E2F3" w:themeFill="accent1" w:themeFillTint="33"/>
          </w:tcPr>
          <w:p w14:paraId="537AB0D1" w14:textId="6E7BCCAB" w:rsidR="00F42B53" w:rsidRPr="002508DF" w:rsidRDefault="00F42B53" w:rsidP="00044497">
            <w:pPr>
              <w:rPr>
                <w:sz w:val="20"/>
                <w:szCs w:val="20"/>
                <w:lang w:val="en-US"/>
              </w:rPr>
            </w:pPr>
            <w:r w:rsidRPr="002508DF">
              <w:rPr>
                <w:sz w:val="20"/>
                <w:szCs w:val="20"/>
                <w:lang w:val="en-US"/>
              </w:rPr>
              <w:t>Producing ESG documentation and procedures requested by potential investors</w:t>
            </w:r>
          </w:p>
        </w:tc>
      </w:tr>
      <w:tr w:rsidR="00F42B53" w:rsidRPr="002508DF" w14:paraId="4475E614" w14:textId="77777777" w:rsidTr="00F42B53">
        <w:tc>
          <w:tcPr>
            <w:tcW w:w="1555" w:type="dxa"/>
            <w:vMerge w:val="restart"/>
          </w:tcPr>
          <w:p w14:paraId="62570A16" w14:textId="317B297E" w:rsidR="00F42B53" w:rsidRPr="002508DF" w:rsidRDefault="00F42B53" w:rsidP="00044497">
            <w:pPr>
              <w:rPr>
                <w:sz w:val="20"/>
                <w:szCs w:val="20"/>
                <w:lang w:val="en-US"/>
              </w:rPr>
            </w:pPr>
            <w:r w:rsidRPr="002508DF">
              <w:rPr>
                <w:sz w:val="20"/>
                <w:szCs w:val="20"/>
                <w:lang w:val="en-US"/>
              </w:rPr>
              <w:t>Business development and project preparation support</w:t>
            </w:r>
          </w:p>
        </w:tc>
        <w:tc>
          <w:tcPr>
            <w:tcW w:w="7512" w:type="dxa"/>
          </w:tcPr>
          <w:p w14:paraId="402ADDC9" w14:textId="372D2130" w:rsidR="00F42B53" w:rsidRPr="002508DF" w:rsidRDefault="00F42B53" w:rsidP="002508DF">
            <w:pPr>
              <w:rPr>
                <w:sz w:val="20"/>
                <w:szCs w:val="20"/>
                <w:lang w:val="en-US"/>
              </w:rPr>
            </w:pPr>
            <w:r w:rsidRPr="002508DF">
              <w:rPr>
                <w:sz w:val="20"/>
                <w:szCs w:val="20"/>
                <w:lang w:val="en-US"/>
              </w:rPr>
              <w:t>General business development support. Strategy, financial management, operational management, credit risk management, human capital, managing agents and retailers, KPI and business metrics, communications and visibility, digitalization and data management, etc.</w:t>
            </w:r>
          </w:p>
        </w:tc>
      </w:tr>
      <w:tr w:rsidR="00F42B53" w:rsidRPr="002508DF" w14:paraId="1E1550B5" w14:textId="77777777" w:rsidTr="00F42B53">
        <w:tc>
          <w:tcPr>
            <w:tcW w:w="1555" w:type="dxa"/>
            <w:vMerge/>
          </w:tcPr>
          <w:p w14:paraId="32FCE655" w14:textId="12E7FF0F" w:rsidR="00F42B53" w:rsidRPr="002508DF" w:rsidRDefault="00F42B53" w:rsidP="00044497">
            <w:pPr>
              <w:rPr>
                <w:sz w:val="20"/>
                <w:szCs w:val="20"/>
                <w:lang w:val="en-US"/>
              </w:rPr>
            </w:pPr>
          </w:p>
        </w:tc>
        <w:tc>
          <w:tcPr>
            <w:tcW w:w="7512" w:type="dxa"/>
          </w:tcPr>
          <w:p w14:paraId="2B1D09BF" w14:textId="0E47EEA5" w:rsidR="00F42B53" w:rsidRPr="002508DF" w:rsidRDefault="00F42B53" w:rsidP="00355F8B">
            <w:pPr>
              <w:rPr>
                <w:sz w:val="20"/>
                <w:szCs w:val="20"/>
                <w:lang w:val="en-US"/>
              </w:rPr>
            </w:pPr>
            <w:r w:rsidRPr="002508DF">
              <w:rPr>
                <w:sz w:val="20"/>
                <w:szCs w:val="20"/>
                <w:lang w:val="en-US"/>
              </w:rPr>
              <w:t>General project preparation support. (Pre-)feasibility studies, project development, other studies (such as E&amp;S assessment), procurement / contracting</w:t>
            </w:r>
          </w:p>
        </w:tc>
      </w:tr>
      <w:tr w:rsidR="00F42B53" w:rsidRPr="002508DF" w14:paraId="4ABE087E" w14:textId="77777777" w:rsidTr="00F42B53">
        <w:tc>
          <w:tcPr>
            <w:tcW w:w="1555" w:type="dxa"/>
            <w:vMerge/>
          </w:tcPr>
          <w:p w14:paraId="0B702EC8" w14:textId="77777777" w:rsidR="00F42B53" w:rsidRPr="002508DF" w:rsidRDefault="00F42B53" w:rsidP="00044497">
            <w:pPr>
              <w:rPr>
                <w:sz w:val="20"/>
                <w:szCs w:val="20"/>
                <w:lang w:val="en-US"/>
              </w:rPr>
            </w:pPr>
          </w:p>
        </w:tc>
        <w:tc>
          <w:tcPr>
            <w:tcW w:w="7512" w:type="dxa"/>
            <w:shd w:val="clear" w:color="auto" w:fill="auto"/>
          </w:tcPr>
          <w:p w14:paraId="69BF6859" w14:textId="09CD45CB" w:rsidR="00F42B53" w:rsidRPr="002508DF" w:rsidRDefault="00F42B53" w:rsidP="002508DF">
            <w:pPr>
              <w:rPr>
                <w:sz w:val="20"/>
                <w:szCs w:val="20"/>
                <w:lang w:val="en-US"/>
              </w:rPr>
            </w:pPr>
            <w:r w:rsidRPr="002508DF">
              <w:rPr>
                <w:sz w:val="20"/>
                <w:szCs w:val="20"/>
                <w:lang w:val="en-US"/>
              </w:rPr>
              <w:t>Expanding operations into new markets (countries/products). Market intelligence, establishing distributor partnerships, support to help distributors/off-takers enter the PURE market</w:t>
            </w:r>
          </w:p>
        </w:tc>
      </w:tr>
      <w:tr w:rsidR="00F42B53" w:rsidRPr="002508DF" w14:paraId="194BDE3D" w14:textId="77777777" w:rsidTr="00F42B53">
        <w:tc>
          <w:tcPr>
            <w:tcW w:w="1555" w:type="dxa"/>
          </w:tcPr>
          <w:p w14:paraId="5CDDA514" w14:textId="69D1FE0C" w:rsidR="00F42B53" w:rsidRPr="002508DF" w:rsidRDefault="00F42B53" w:rsidP="00044497">
            <w:pPr>
              <w:rPr>
                <w:sz w:val="20"/>
                <w:szCs w:val="20"/>
                <w:lang w:val="en-US"/>
              </w:rPr>
            </w:pPr>
            <w:r w:rsidRPr="002508DF">
              <w:rPr>
                <w:sz w:val="20"/>
                <w:szCs w:val="20"/>
                <w:lang w:val="en-US"/>
              </w:rPr>
              <w:t>Investment strategy and structuring</w:t>
            </w:r>
          </w:p>
        </w:tc>
        <w:tc>
          <w:tcPr>
            <w:tcW w:w="7512" w:type="dxa"/>
          </w:tcPr>
          <w:p w14:paraId="3E12D5A5" w14:textId="32461E60" w:rsidR="00F42B53" w:rsidRPr="002508DF" w:rsidRDefault="00F42B53" w:rsidP="00044497">
            <w:pPr>
              <w:rPr>
                <w:sz w:val="20"/>
                <w:szCs w:val="20"/>
                <w:lang w:val="en-US"/>
              </w:rPr>
            </w:pPr>
            <w:r w:rsidRPr="002508DF">
              <w:rPr>
                <w:sz w:val="20"/>
                <w:szCs w:val="20"/>
                <w:lang w:val="en-US"/>
              </w:rPr>
              <w:t xml:space="preserve">Capital structures, financial sustainability, investment roadmap, etc. </w:t>
            </w:r>
          </w:p>
        </w:tc>
      </w:tr>
      <w:tr w:rsidR="00F42B53" w:rsidRPr="002508DF" w14:paraId="062A9E7E" w14:textId="77777777" w:rsidTr="00F42B53">
        <w:tc>
          <w:tcPr>
            <w:tcW w:w="1555" w:type="dxa"/>
          </w:tcPr>
          <w:p w14:paraId="27464E30" w14:textId="4CA490C2" w:rsidR="00F42B53" w:rsidRPr="002508DF" w:rsidRDefault="00F42B53" w:rsidP="00044497">
            <w:pPr>
              <w:rPr>
                <w:sz w:val="20"/>
                <w:szCs w:val="20"/>
                <w:lang w:val="en-US"/>
              </w:rPr>
            </w:pPr>
            <w:r w:rsidRPr="002508DF">
              <w:rPr>
                <w:sz w:val="20"/>
                <w:szCs w:val="20"/>
                <w:lang w:val="en-US"/>
              </w:rPr>
              <w:t>Finance access support</w:t>
            </w:r>
          </w:p>
        </w:tc>
        <w:tc>
          <w:tcPr>
            <w:tcW w:w="7512" w:type="dxa"/>
          </w:tcPr>
          <w:p w14:paraId="4F32524A" w14:textId="379B85E6" w:rsidR="00F42B53" w:rsidRPr="002508DF" w:rsidRDefault="00F42B53" w:rsidP="005C5A37">
            <w:pPr>
              <w:rPr>
                <w:sz w:val="20"/>
                <w:szCs w:val="20"/>
                <w:lang w:val="en-US"/>
              </w:rPr>
            </w:pPr>
            <w:r w:rsidRPr="002508DF">
              <w:rPr>
                <w:sz w:val="20"/>
                <w:szCs w:val="20"/>
                <w:lang w:val="en-US"/>
              </w:rPr>
              <w:t>Identify appropriate financing options, aligning project documentation with financier requirements, financial modelling, introduction to financiers, etc.</w:t>
            </w:r>
          </w:p>
        </w:tc>
      </w:tr>
      <w:tr w:rsidR="00F42B53" w:rsidRPr="002508DF" w14:paraId="47D21D09" w14:textId="77777777" w:rsidTr="00F42B53">
        <w:tc>
          <w:tcPr>
            <w:tcW w:w="1555" w:type="dxa"/>
          </w:tcPr>
          <w:p w14:paraId="76AADBC4" w14:textId="01678DF8" w:rsidR="00F42B53" w:rsidRPr="002508DF" w:rsidRDefault="00F42B53" w:rsidP="00044497">
            <w:pPr>
              <w:rPr>
                <w:sz w:val="20"/>
                <w:szCs w:val="20"/>
                <w:lang w:val="en-US"/>
              </w:rPr>
            </w:pPr>
            <w:r w:rsidRPr="002508DF">
              <w:rPr>
                <w:sz w:val="20"/>
                <w:szCs w:val="20"/>
                <w:lang w:val="en-US"/>
              </w:rPr>
              <w:t>Post-investment support</w:t>
            </w:r>
          </w:p>
        </w:tc>
        <w:tc>
          <w:tcPr>
            <w:tcW w:w="7512" w:type="dxa"/>
            <w:shd w:val="clear" w:color="auto" w:fill="D9E2F3" w:themeFill="accent1" w:themeFillTint="33"/>
          </w:tcPr>
          <w:p w14:paraId="13BDD981" w14:textId="491A5FBE" w:rsidR="00F42B53" w:rsidRPr="002508DF" w:rsidRDefault="00F42B53" w:rsidP="005C5A37">
            <w:pPr>
              <w:rPr>
                <w:sz w:val="20"/>
                <w:szCs w:val="20"/>
                <w:lang w:val="en-US"/>
              </w:rPr>
            </w:pPr>
            <w:r w:rsidRPr="002508DF">
              <w:rPr>
                <w:sz w:val="20"/>
                <w:szCs w:val="20"/>
                <w:lang w:val="en-US"/>
              </w:rPr>
              <w:t xml:space="preserve">Crisis and financial distress management, funding disbursement support, debt restructuring and mergers and acquisitions </w:t>
            </w:r>
          </w:p>
        </w:tc>
      </w:tr>
      <w:tr w:rsidR="00F42B53" w:rsidRPr="002508DF" w14:paraId="47530827" w14:textId="77777777" w:rsidTr="00F42B53">
        <w:tc>
          <w:tcPr>
            <w:tcW w:w="1555" w:type="dxa"/>
            <w:vMerge w:val="restart"/>
          </w:tcPr>
          <w:p w14:paraId="1041184E" w14:textId="32A5A44D" w:rsidR="00F42B53" w:rsidRPr="002508DF" w:rsidRDefault="00F42B53" w:rsidP="00044497">
            <w:pPr>
              <w:rPr>
                <w:sz w:val="20"/>
                <w:szCs w:val="20"/>
                <w:lang w:val="en-US"/>
              </w:rPr>
            </w:pPr>
            <w:r w:rsidRPr="002508DF">
              <w:rPr>
                <w:sz w:val="20"/>
                <w:szCs w:val="20"/>
                <w:lang w:val="en-US"/>
              </w:rPr>
              <w:t>Improving operations</w:t>
            </w:r>
          </w:p>
        </w:tc>
        <w:tc>
          <w:tcPr>
            <w:tcW w:w="7512" w:type="dxa"/>
            <w:shd w:val="clear" w:color="auto" w:fill="D9E2F3" w:themeFill="accent1" w:themeFillTint="33"/>
          </w:tcPr>
          <w:p w14:paraId="2C4E15AB" w14:textId="7BB4B509" w:rsidR="00F42B53" w:rsidRPr="00F42B53" w:rsidRDefault="00F42B53" w:rsidP="00044497">
            <w:pPr>
              <w:rPr>
                <w:sz w:val="20"/>
                <w:szCs w:val="20"/>
                <w:lang w:val="en-US"/>
              </w:rPr>
            </w:pPr>
            <w:r w:rsidRPr="00F42B53">
              <w:rPr>
                <w:sz w:val="20"/>
                <w:szCs w:val="20"/>
                <w:lang w:val="en-US"/>
              </w:rPr>
              <w:t xml:space="preserve">Digitizing DRE operations. Supporting </w:t>
            </w:r>
            <w:proofErr w:type="spellStart"/>
            <w:r w:rsidRPr="00F42B53">
              <w:rPr>
                <w:sz w:val="20"/>
                <w:szCs w:val="20"/>
                <w:lang w:val="en-US"/>
              </w:rPr>
              <w:t>PAYGo</w:t>
            </w:r>
            <w:proofErr w:type="spellEnd"/>
            <w:r w:rsidRPr="00F42B53">
              <w:rPr>
                <w:sz w:val="20"/>
                <w:szCs w:val="20"/>
                <w:lang w:val="en-US"/>
              </w:rPr>
              <w:t xml:space="preserve"> companies adopt CRM platforms; supporting mini-grid developers leverage geospatial and other data for site selection, energy demand assessments and (pre)feasibility studies facilitated.</w:t>
            </w:r>
          </w:p>
        </w:tc>
      </w:tr>
      <w:tr w:rsidR="00F42B53" w:rsidRPr="002508DF" w14:paraId="1A10FE88" w14:textId="77777777" w:rsidTr="00F42B53">
        <w:tc>
          <w:tcPr>
            <w:tcW w:w="1555" w:type="dxa"/>
            <w:vMerge/>
          </w:tcPr>
          <w:p w14:paraId="76683230" w14:textId="77777777" w:rsidR="00F42B53" w:rsidRPr="002508DF" w:rsidRDefault="00F42B53" w:rsidP="00044497">
            <w:pPr>
              <w:rPr>
                <w:sz w:val="20"/>
                <w:szCs w:val="20"/>
                <w:lang w:val="en-US"/>
              </w:rPr>
            </w:pPr>
          </w:p>
        </w:tc>
        <w:tc>
          <w:tcPr>
            <w:tcW w:w="7512" w:type="dxa"/>
            <w:shd w:val="clear" w:color="auto" w:fill="D9E2F3" w:themeFill="accent1" w:themeFillTint="33"/>
          </w:tcPr>
          <w:p w14:paraId="165A5BB8" w14:textId="7B88B4FA" w:rsidR="00F42B53" w:rsidRPr="00F42B53" w:rsidRDefault="00F42B53" w:rsidP="00044497">
            <w:pPr>
              <w:rPr>
                <w:sz w:val="20"/>
                <w:szCs w:val="20"/>
                <w:lang w:val="en-US"/>
              </w:rPr>
            </w:pPr>
            <w:r w:rsidRPr="00F42B53">
              <w:rPr>
                <w:sz w:val="20"/>
                <w:szCs w:val="20"/>
                <w:lang w:val="en-US"/>
              </w:rPr>
              <w:t>Working capital management (inventory, payment to suppliers, cash management,) supply chain efficiency management</w:t>
            </w:r>
          </w:p>
        </w:tc>
      </w:tr>
      <w:tr w:rsidR="00F42B53" w:rsidRPr="002508DF" w14:paraId="3C7732E5" w14:textId="77777777" w:rsidTr="00F42B53">
        <w:tc>
          <w:tcPr>
            <w:tcW w:w="1555" w:type="dxa"/>
            <w:vMerge/>
          </w:tcPr>
          <w:p w14:paraId="576C9609" w14:textId="77777777" w:rsidR="00F42B53" w:rsidRPr="002508DF" w:rsidRDefault="00F42B53" w:rsidP="00044497">
            <w:pPr>
              <w:rPr>
                <w:sz w:val="20"/>
                <w:szCs w:val="20"/>
                <w:lang w:val="en-US"/>
              </w:rPr>
            </w:pPr>
          </w:p>
        </w:tc>
        <w:tc>
          <w:tcPr>
            <w:tcW w:w="7512" w:type="dxa"/>
            <w:shd w:val="clear" w:color="auto" w:fill="D9E2F3" w:themeFill="accent1" w:themeFillTint="33"/>
          </w:tcPr>
          <w:p w14:paraId="7BC4B740" w14:textId="5D1D1420" w:rsidR="00F42B53" w:rsidRPr="002508DF" w:rsidRDefault="00F42B53" w:rsidP="00044497">
            <w:pPr>
              <w:rPr>
                <w:sz w:val="20"/>
                <w:szCs w:val="20"/>
                <w:lang w:val="en-US"/>
              </w:rPr>
            </w:pPr>
            <w:r w:rsidRPr="002508DF">
              <w:rPr>
                <w:sz w:val="20"/>
                <w:szCs w:val="20"/>
                <w:lang w:val="en-US"/>
              </w:rPr>
              <w:t xml:space="preserve">Improve credit risk management of PAYG companies (leveraging data, systems and tools, management of sales agents, monitoring, </w:t>
            </w:r>
            <w:proofErr w:type="spellStart"/>
            <w:r w:rsidRPr="002508DF">
              <w:rPr>
                <w:sz w:val="20"/>
                <w:szCs w:val="20"/>
                <w:lang w:val="en-US"/>
              </w:rPr>
              <w:t>etc</w:t>
            </w:r>
            <w:proofErr w:type="spellEnd"/>
            <w:r w:rsidRPr="002508DF">
              <w:rPr>
                <w:sz w:val="20"/>
                <w:szCs w:val="20"/>
                <w:lang w:val="en-US"/>
              </w:rPr>
              <w:t>)</w:t>
            </w:r>
          </w:p>
        </w:tc>
      </w:tr>
      <w:tr w:rsidR="00F42B53" w:rsidRPr="002508DF" w14:paraId="637A2711" w14:textId="77777777" w:rsidTr="00F42B53">
        <w:tc>
          <w:tcPr>
            <w:tcW w:w="1555" w:type="dxa"/>
            <w:vMerge/>
          </w:tcPr>
          <w:p w14:paraId="38C510AB" w14:textId="77777777" w:rsidR="00F42B53" w:rsidRPr="002508DF" w:rsidRDefault="00F42B53" w:rsidP="00044497">
            <w:pPr>
              <w:rPr>
                <w:sz w:val="20"/>
                <w:szCs w:val="20"/>
                <w:lang w:val="en-US"/>
              </w:rPr>
            </w:pPr>
          </w:p>
        </w:tc>
        <w:tc>
          <w:tcPr>
            <w:tcW w:w="7512" w:type="dxa"/>
            <w:shd w:val="clear" w:color="auto" w:fill="D9E2F3" w:themeFill="accent1" w:themeFillTint="33"/>
          </w:tcPr>
          <w:p w14:paraId="7B1D314E" w14:textId="03AF85F1" w:rsidR="00F42B53" w:rsidRPr="002508DF" w:rsidRDefault="00F42B53" w:rsidP="0064116E">
            <w:pPr>
              <w:rPr>
                <w:sz w:val="20"/>
                <w:szCs w:val="20"/>
                <w:lang w:val="en-US"/>
              </w:rPr>
            </w:pPr>
            <w:r>
              <w:rPr>
                <w:sz w:val="20"/>
                <w:szCs w:val="20"/>
                <w:lang w:val="en-US"/>
              </w:rPr>
              <w:t>Benchmarking and reporting. Support companies adopt industry KPIs (</w:t>
            </w:r>
            <w:proofErr w:type="spellStart"/>
            <w:r>
              <w:rPr>
                <w:sz w:val="20"/>
                <w:szCs w:val="20"/>
                <w:lang w:val="en-US"/>
              </w:rPr>
              <w:t>eg</w:t>
            </w:r>
            <w:proofErr w:type="spellEnd"/>
            <w:r>
              <w:rPr>
                <w:sz w:val="20"/>
                <w:szCs w:val="20"/>
                <w:lang w:val="en-US"/>
              </w:rPr>
              <w:t xml:space="preserve"> </w:t>
            </w:r>
            <w:proofErr w:type="spellStart"/>
            <w:r>
              <w:rPr>
                <w:sz w:val="20"/>
                <w:szCs w:val="20"/>
                <w:lang w:val="en-US"/>
              </w:rPr>
              <w:t>PAYGo</w:t>
            </w:r>
            <w:proofErr w:type="spellEnd"/>
            <w:r>
              <w:rPr>
                <w:sz w:val="20"/>
                <w:szCs w:val="20"/>
                <w:lang w:val="en-US"/>
              </w:rPr>
              <w:t xml:space="preserve"> Perform Monitor), report, benchmark and track their performance. </w:t>
            </w:r>
          </w:p>
        </w:tc>
      </w:tr>
      <w:tr w:rsidR="00F42B53" w:rsidRPr="002508DF" w14:paraId="4D199AF3" w14:textId="77777777" w:rsidTr="00F42B53">
        <w:tc>
          <w:tcPr>
            <w:tcW w:w="1555" w:type="dxa"/>
            <w:vMerge w:val="restart"/>
          </w:tcPr>
          <w:p w14:paraId="33E08A53" w14:textId="46DC05D9" w:rsidR="00F42B53" w:rsidRPr="002508DF" w:rsidRDefault="00F42B53" w:rsidP="00044497">
            <w:pPr>
              <w:rPr>
                <w:sz w:val="20"/>
                <w:szCs w:val="20"/>
                <w:lang w:val="en-US"/>
              </w:rPr>
            </w:pPr>
            <w:r>
              <w:rPr>
                <w:sz w:val="20"/>
                <w:szCs w:val="20"/>
                <w:lang w:val="en-US"/>
              </w:rPr>
              <w:t>H</w:t>
            </w:r>
            <w:r w:rsidRPr="002508DF">
              <w:rPr>
                <w:sz w:val="20"/>
                <w:szCs w:val="20"/>
                <w:lang w:val="en-US"/>
              </w:rPr>
              <w:t>uman capital development</w:t>
            </w:r>
          </w:p>
        </w:tc>
        <w:tc>
          <w:tcPr>
            <w:tcW w:w="7512" w:type="dxa"/>
            <w:shd w:val="clear" w:color="auto" w:fill="D9E2F3" w:themeFill="accent1" w:themeFillTint="33"/>
          </w:tcPr>
          <w:p w14:paraId="48277475" w14:textId="490D5CFB" w:rsidR="00F42B53" w:rsidRPr="002508DF" w:rsidRDefault="00F42B53" w:rsidP="00044497">
            <w:pPr>
              <w:rPr>
                <w:sz w:val="20"/>
                <w:szCs w:val="20"/>
                <w:lang w:val="en-US"/>
              </w:rPr>
            </w:pPr>
            <w:r w:rsidRPr="002508DF">
              <w:rPr>
                <w:sz w:val="20"/>
                <w:szCs w:val="20"/>
                <w:lang w:val="en-US"/>
              </w:rPr>
              <w:t>Embedding interim staff (</w:t>
            </w:r>
            <w:proofErr w:type="spellStart"/>
            <w:r w:rsidRPr="002508DF">
              <w:rPr>
                <w:sz w:val="20"/>
                <w:szCs w:val="20"/>
                <w:lang w:val="en-US"/>
              </w:rPr>
              <w:t>eg</w:t>
            </w:r>
            <w:proofErr w:type="spellEnd"/>
            <w:r w:rsidRPr="002508DF">
              <w:rPr>
                <w:sz w:val="20"/>
                <w:szCs w:val="20"/>
                <w:lang w:val="en-US"/>
              </w:rPr>
              <w:t xml:space="preserve"> interim CFO)</w:t>
            </w:r>
          </w:p>
        </w:tc>
      </w:tr>
      <w:tr w:rsidR="00F42B53" w:rsidRPr="002508DF" w14:paraId="0B619039" w14:textId="77777777" w:rsidTr="00F42B53">
        <w:tc>
          <w:tcPr>
            <w:tcW w:w="1555" w:type="dxa"/>
            <w:vMerge/>
          </w:tcPr>
          <w:p w14:paraId="00B106DE" w14:textId="77777777" w:rsidR="00F42B53" w:rsidRPr="002508DF" w:rsidRDefault="00F42B53" w:rsidP="00044497">
            <w:pPr>
              <w:rPr>
                <w:sz w:val="20"/>
                <w:szCs w:val="20"/>
                <w:lang w:val="en-US"/>
              </w:rPr>
            </w:pPr>
          </w:p>
        </w:tc>
        <w:tc>
          <w:tcPr>
            <w:tcW w:w="7512" w:type="dxa"/>
            <w:shd w:val="clear" w:color="auto" w:fill="D9E2F3" w:themeFill="accent1" w:themeFillTint="33"/>
          </w:tcPr>
          <w:p w14:paraId="22612860" w14:textId="0BB412F2" w:rsidR="00F42B53" w:rsidRPr="002508DF" w:rsidRDefault="00F42B53" w:rsidP="00044497">
            <w:pPr>
              <w:rPr>
                <w:sz w:val="20"/>
                <w:szCs w:val="20"/>
                <w:lang w:val="en-US"/>
              </w:rPr>
            </w:pPr>
            <w:r w:rsidRPr="002508DF">
              <w:rPr>
                <w:sz w:val="20"/>
                <w:szCs w:val="20"/>
                <w:lang w:val="en-US"/>
              </w:rPr>
              <w:t>Operational training: identifying, training, retaining staff.</w:t>
            </w:r>
            <w:r>
              <w:rPr>
                <w:sz w:val="20"/>
                <w:szCs w:val="20"/>
                <w:lang w:val="en-US"/>
              </w:rPr>
              <w:t xml:space="preserve"> </w:t>
            </w:r>
            <w:r w:rsidRPr="002508DF">
              <w:rPr>
                <w:sz w:val="20"/>
                <w:szCs w:val="20"/>
                <w:lang w:val="en-US"/>
              </w:rPr>
              <w:t>Promoting female entrepreneurs/ gender-balanced workforce</w:t>
            </w:r>
            <w:r>
              <w:rPr>
                <w:sz w:val="20"/>
                <w:szCs w:val="20"/>
                <w:lang w:val="en-US"/>
              </w:rPr>
              <w:t>.</w:t>
            </w:r>
          </w:p>
        </w:tc>
      </w:tr>
      <w:tr w:rsidR="00F42B53" w:rsidRPr="002508DF" w14:paraId="0F8005D4" w14:textId="77777777" w:rsidTr="00F42B53">
        <w:tc>
          <w:tcPr>
            <w:tcW w:w="1555" w:type="dxa"/>
            <w:vMerge w:val="restart"/>
          </w:tcPr>
          <w:p w14:paraId="48BFBC66" w14:textId="328029FB" w:rsidR="00F42B53" w:rsidRPr="002508DF" w:rsidRDefault="00F42B53" w:rsidP="00044497">
            <w:pPr>
              <w:rPr>
                <w:sz w:val="20"/>
                <w:szCs w:val="20"/>
                <w:lang w:val="en-US"/>
              </w:rPr>
            </w:pPr>
            <w:r w:rsidRPr="002508DF">
              <w:rPr>
                <w:sz w:val="20"/>
                <w:szCs w:val="20"/>
                <w:lang w:val="en-US"/>
              </w:rPr>
              <w:t>Monetizing impact</w:t>
            </w:r>
          </w:p>
        </w:tc>
        <w:tc>
          <w:tcPr>
            <w:tcW w:w="7512" w:type="dxa"/>
            <w:shd w:val="clear" w:color="auto" w:fill="D9E2F3" w:themeFill="accent1" w:themeFillTint="33"/>
          </w:tcPr>
          <w:p w14:paraId="7EAB6274" w14:textId="0BBC58ED" w:rsidR="00F42B53" w:rsidRPr="002508DF" w:rsidRDefault="00F42B53" w:rsidP="00044497">
            <w:pPr>
              <w:rPr>
                <w:sz w:val="20"/>
                <w:szCs w:val="20"/>
                <w:lang w:val="en-US"/>
              </w:rPr>
            </w:pPr>
            <w:r>
              <w:rPr>
                <w:sz w:val="20"/>
                <w:szCs w:val="20"/>
                <w:lang w:val="en-US"/>
              </w:rPr>
              <w:t>P</w:t>
            </w:r>
            <w:r w:rsidRPr="002508DF">
              <w:rPr>
                <w:sz w:val="20"/>
                <w:szCs w:val="20"/>
                <w:lang w:val="en-US"/>
              </w:rPr>
              <w:t xml:space="preserve">reparing carbon finance </w:t>
            </w:r>
            <w:r>
              <w:rPr>
                <w:sz w:val="20"/>
                <w:szCs w:val="20"/>
                <w:lang w:val="en-US"/>
              </w:rPr>
              <w:t xml:space="preserve">or D-REC </w:t>
            </w:r>
            <w:r w:rsidRPr="002508DF">
              <w:rPr>
                <w:sz w:val="20"/>
                <w:szCs w:val="20"/>
                <w:lang w:val="en-US"/>
              </w:rPr>
              <w:t>projects</w:t>
            </w:r>
          </w:p>
        </w:tc>
      </w:tr>
      <w:tr w:rsidR="00F42B53" w:rsidRPr="002508DF" w14:paraId="3EBDC9D5" w14:textId="77777777" w:rsidTr="00F42B53">
        <w:tc>
          <w:tcPr>
            <w:tcW w:w="1555" w:type="dxa"/>
            <w:vMerge/>
            <w:tcBorders>
              <w:bottom w:val="single" w:sz="4" w:space="0" w:color="auto"/>
            </w:tcBorders>
          </w:tcPr>
          <w:p w14:paraId="6BA30530" w14:textId="77777777" w:rsidR="00F42B53" w:rsidRPr="002508DF" w:rsidRDefault="00F42B53" w:rsidP="00044497">
            <w:pPr>
              <w:rPr>
                <w:sz w:val="20"/>
                <w:szCs w:val="20"/>
                <w:lang w:val="en-US"/>
              </w:rPr>
            </w:pPr>
          </w:p>
        </w:tc>
        <w:tc>
          <w:tcPr>
            <w:tcW w:w="7512" w:type="dxa"/>
            <w:tcBorders>
              <w:bottom w:val="single" w:sz="4" w:space="0" w:color="auto"/>
            </w:tcBorders>
          </w:tcPr>
          <w:p w14:paraId="680AE9D6" w14:textId="17CC43E1" w:rsidR="00F42B53" w:rsidRPr="002508DF" w:rsidRDefault="00F42B53" w:rsidP="00044497">
            <w:pPr>
              <w:rPr>
                <w:sz w:val="20"/>
                <w:szCs w:val="20"/>
                <w:lang w:val="en-US"/>
              </w:rPr>
            </w:pPr>
            <w:r w:rsidRPr="002508DF">
              <w:rPr>
                <w:sz w:val="20"/>
                <w:szCs w:val="20"/>
                <w:lang w:val="en-US"/>
              </w:rPr>
              <w:t>Support subsidy applications</w:t>
            </w:r>
          </w:p>
        </w:tc>
      </w:tr>
      <w:tr w:rsidR="00F42B53" w:rsidRPr="002508DF" w14:paraId="4736ED99" w14:textId="77777777" w:rsidTr="00F42B53">
        <w:tc>
          <w:tcPr>
            <w:tcW w:w="1555" w:type="dxa"/>
            <w:tcBorders>
              <w:left w:val="nil"/>
              <w:right w:val="nil"/>
            </w:tcBorders>
          </w:tcPr>
          <w:p w14:paraId="326B1736" w14:textId="77777777" w:rsidR="00F42B53" w:rsidRPr="002508DF" w:rsidRDefault="00F42B53" w:rsidP="00044497">
            <w:pPr>
              <w:rPr>
                <w:sz w:val="20"/>
                <w:szCs w:val="20"/>
                <w:lang w:val="en-US"/>
              </w:rPr>
            </w:pPr>
          </w:p>
        </w:tc>
        <w:tc>
          <w:tcPr>
            <w:tcW w:w="7512" w:type="dxa"/>
            <w:tcBorders>
              <w:left w:val="nil"/>
              <w:right w:val="nil"/>
            </w:tcBorders>
          </w:tcPr>
          <w:p w14:paraId="51664B2F" w14:textId="77777777" w:rsidR="00F42B53" w:rsidRPr="002508DF" w:rsidRDefault="00F42B53" w:rsidP="00044497">
            <w:pPr>
              <w:rPr>
                <w:sz w:val="20"/>
                <w:szCs w:val="20"/>
                <w:lang w:val="en-US"/>
              </w:rPr>
            </w:pPr>
          </w:p>
        </w:tc>
      </w:tr>
      <w:tr w:rsidR="00F42B53" w:rsidRPr="002508DF" w14:paraId="76A58DB8" w14:textId="77777777" w:rsidTr="00F42B53">
        <w:tc>
          <w:tcPr>
            <w:tcW w:w="1555" w:type="dxa"/>
            <w:shd w:val="clear" w:color="auto" w:fill="D9E2F3" w:themeFill="accent1" w:themeFillTint="33"/>
          </w:tcPr>
          <w:p w14:paraId="0557CD0D" w14:textId="77777777" w:rsidR="00F42B53" w:rsidRPr="002508DF" w:rsidRDefault="00F42B53" w:rsidP="00044497">
            <w:pPr>
              <w:rPr>
                <w:sz w:val="20"/>
                <w:szCs w:val="20"/>
                <w:lang w:val="en-US"/>
              </w:rPr>
            </w:pPr>
          </w:p>
        </w:tc>
        <w:tc>
          <w:tcPr>
            <w:tcW w:w="7512" w:type="dxa"/>
          </w:tcPr>
          <w:p w14:paraId="758135C0" w14:textId="77777777" w:rsidR="00F42B53" w:rsidRPr="002508DF" w:rsidRDefault="00F42B53" w:rsidP="00044497">
            <w:pPr>
              <w:rPr>
                <w:sz w:val="20"/>
                <w:szCs w:val="20"/>
                <w:lang w:val="en-US"/>
              </w:rPr>
            </w:pPr>
            <w:r w:rsidRPr="002508DF">
              <w:rPr>
                <w:sz w:val="20"/>
                <w:szCs w:val="20"/>
                <w:lang w:val="en-US"/>
              </w:rPr>
              <w:t>Highlighted areas considered a priority given they are recognized gap in the sector, based on stakeholder interviews</w:t>
            </w:r>
          </w:p>
        </w:tc>
      </w:tr>
    </w:tbl>
    <w:p w14:paraId="1410B915" w14:textId="77777777" w:rsidR="00044497" w:rsidRDefault="00044497" w:rsidP="00D86C19">
      <w:pPr>
        <w:rPr>
          <w:lang w:val="en-US"/>
        </w:rPr>
      </w:pPr>
    </w:p>
    <w:sectPr w:rsidR="00044497" w:rsidSect="00235CA6">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5F620" w14:textId="77777777" w:rsidR="00C156EB" w:rsidRDefault="00C156EB" w:rsidP="00C5293D">
      <w:pPr>
        <w:spacing w:after="0" w:line="240" w:lineRule="auto"/>
      </w:pPr>
      <w:r>
        <w:separator/>
      </w:r>
    </w:p>
  </w:endnote>
  <w:endnote w:type="continuationSeparator" w:id="0">
    <w:p w14:paraId="02393940" w14:textId="77777777" w:rsidR="00C156EB" w:rsidRDefault="00C156EB" w:rsidP="00C5293D">
      <w:pPr>
        <w:spacing w:after="0" w:line="240" w:lineRule="auto"/>
      </w:pPr>
      <w:r>
        <w:continuationSeparator/>
      </w:r>
    </w:p>
  </w:endnote>
  <w:endnote w:type="continuationNotice" w:id="1">
    <w:p w14:paraId="46F28C3A" w14:textId="77777777" w:rsidR="00C156EB" w:rsidRDefault="00C156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D2A853" w14:textId="77777777" w:rsidR="00C156EB" w:rsidRDefault="00C156EB" w:rsidP="00C5293D">
      <w:pPr>
        <w:spacing w:after="0" w:line="240" w:lineRule="auto"/>
      </w:pPr>
      <w:r>
        <w:separator/>
      </w:r>
    </w:p>
  </w:footnote>
  <w:footnote w:type="continuationSeparator" w:id="0">
    <w:p w14:paraId="2EB17769" w14:textId="77777777" w:rsidR="00C156EB" w:rsidRDefault="00C156EB" w:rsidP="00C5293D">
      <w:pPr>
        <w:spacing w:after="0" w:line="240" w:lineRule="auto"/>
      </w:pPr>
      <w:r>
        <w:continuationSeparator/>
      </w:r>
    </w:p>
  </w:footnote>
  <w:footnote w:type="continuationNotice" w:id="1">
    <w:p w14:paraId="26A84A77" w14:textId="77777777" w:rsidR="00C156EB" w:rsidRDefault="00C156EB">
      <w:pPr>
        <w:spacing w:after="0" w:line="240" w:lineRule="auto"/>
      </w:pPr>
    </w:p>
  </w:footnote>
  <w:footnote w:id="2">
    <w:p w14:paraId="0BA4A9DB" w14:textId="4D19C7FB" w:rsidR="0096159E" w:rsidRPr="0096159E" w:rsidRDefault="0096159E">
      <w:pPr>
        <w:pStyle w:val="FootnoteText"/>
        <w:rPr>
          <w:lang w:val="en-US"/>
        </w:rPr>
      </w:pPr>
      <w:r w:rsidRPr="0096159E">
        <w:rPr>
          <w:rStyle w:val="FootnoteReference"/>
          <w:lang w:val="en-US"/>
        </w:rPr>
        <w:footnoteRef/>
      </w:r>
      <w:r w:rsidRPr="0096159E">
        <w:rPr>
          <w:lang w:val="en-US"/>
        </w:rPr>
        <w:t xml:space="preserve"> About specialized services: Existing </w:t>
      </w:r>
      <w:r w:rsidR="00A93555">
        <w:rPr>
          <w:lang w:val="en-US"/>
        </w:rPr>
        <w:t>Technical Assistance (</w:t>
      </w:r>
      <w:r w:rsidRPr="0096159E">
        <w:rPr>
          <w:lang w:val="en-US"/>
        </w:rPr>
        <w:t>TA</w:t>
      </w:r>
      <w:r w:rsidR="00A93555">
        <w:rPr>
          <w:lang w:val="en-US"/>
        </w:rPr>
        <w:t>)</w:t>
      </w:r>
      <w:r w:rsidRPr="0096159E">
        <w:rPr>
          <w:lang w:val="en-US"/>
        </w:rPr>
        <w:t xml:space="preserve"> facilities in the sector</w:t>
      </w:r>
      <w:r w:rsidR="00B836AB">
        <w:rPr>
          <w:lang w:val="en-US"/>
        </w:rPr>
        <w:t xml:space="preserve"> </w:t>
      </w:r>
      <w:r>
        <w:rPr>
          <w:lang w:val="en-US"/>
        </w:rPr>
        <w:t xml:space="preserve">provide </w:t>
      </w:r>
      <w:r w:rsidR="00FC6B00">
        <w:rPr>
          <w:lang w:val="en-US"/>
        </w:rPr>
        <w:t>holistic support to companies covering</w:t>
      </w:r>
      <w:r w:rsidR="00FC6B00" w:rsidRPr="00FC6B00">
        <w:rPr>
          <w:lang w:val="en-US"/>
        </w:rPr>
        <w:t xml:space="preserve"> a variety of areas (leadership and strategy, </w:t>
      </w:r>
      <w:r w:rsidR="00FC6B00">
        <w:rPr>
          <w:lang w:val="en-US"/>
        </w:rPr>
        <w:t xml:space="preserve">project and </w:t>
      </w:r>
      <w:r w:rsidR="00FC6B00" w:rsidRPr="00FC6B00">
        <w:rPr>
          <w:lang w:val="en-US"/>
        </w:rPr>
        <w:t>corporate finance, core operations, consumer credit</w:t>
      </w:r>
      <w:r w:rsidR="00FC6B00">
        <w:rPr>
          <w:lang w:val="en-US"/>
        </w:rPr>
        <w:t>, etc</w:t>
      </w:r>
      <w:r w:rsidR="00FC6B00" w:rsidRPr="00FC6B00">
        <w:rPr>
          <w:lang w:val="en-US"/>
        </w:rPr>
        <w:t>)</w:t>
      </w:r>
      <w:r w:rsidR="00FC6B00">
        <w:rPr>
          <w:lang w:val="en-US"/>
        </w:rPr>
        <w:t xml:space="preserve">. Investors </w:t>
      </w:r>
      <w:r w:rsidR="00EF5B0C">
        <w:rPr>
          <w:lang w:val="en-US"/>
        </w:rPr>
        <w:t xml:space="preserve">may also provide similar services to their investees. </w:t>
      </w:r>
      <w:r w:rsidR="00FC6B00">
        <w:rPr>
          <w:lang w:val="en-US"/>
        </w:rPr>
        <w:t xml:space="preserve">The PPF intends to build on such TA to provide additional and specialized service packages that are not covered by </w:t>
      </w:r>
      <w:r w:rsidR="00EF5B0C">
        <w:rPr>
          <w:lang w:val="en-US"/>
        </w:rPr>
        <w:t>them.</w:t>
      </w:r>
      <w:r w:rsidR="00FC6B00">
        <w:rPr>
          <w:lang w:val="en-US"/>
        </w:rPr>
        <w:t xml:space="preserve"> </w:t>
      </w:r>
      <w:r w:rsidR="004A073B" w:rsidRPr="00F81C73">
        <w:rPr>
          <w:lang w:val="en-US"/>
        </w:rPr>
        <w:t xml:space="preserve">Annex </w:t>
      </w:r>
      <w:r w:rsidR="00F81C73" w:rsidRPr="00F81C73">
        <w:rPr>
          <w:lang w:val="en-US"/>
        </w:rPr>
        <w:t>1</w:t>
      </w:r>
      <w:r w:rsidR="004A073B">
        <w:rPr>
          <w:lang w:val="en-US"/>
        </w:rPr>
        <w:t xml:space="preserve"> provides examples of such </w:t>
      </w:r>
      <w:r w:rsidR="004A073B" w:rsidRPr="004A073B">
        <w:rPr>
          <w:lang w:val="en-US"/>
        </w:rPr>
        <w:t>specialized service packages</w:t>
      </w:r>
      <w:r w:rsidR="004A073B">
        <w:rPr>
          <w:lang w:val="en-US"/>
        </w:rPr>
        <w:t>.</w:t>
      </w:r>
    </w:p>
  </w:footnote>
  <w:footnote w:id="3">
    <w:p w14:paraId="2125E93B" w14:textId="6DFF4DD4" w:rsidR="002C2219" w:rsidRPr="00A9250D" w:rsidRDefault="002C2219" w:rsidP="002C2219">
      <w:pPr>
        <w:pStyle w:val="FootnoteText"/>
        <w:rPr>
          <w:lang w:val="en-US"/>
        </w:rPr>
      </w:pPr>
      <w:r>
        <w:rPr>
          <w:rStyle w:val="FootnoteReference"/>
        </w:rPr>
        <w:footnoteRef/>
      </w:r>
      <w:r>
        <w:t xml:space="preserve"> </w:t>
      </w:r>
      <w:r w:rsidRPr="008040ED">
        <w:t>Eligible technologies: off-grid solar, mini-grids, productive use of renewables</w:t>
      </w:r>
      <w:r w:rsidR="00D866C2">
        <w:t xml:space="preserve"> and</w:t>
      </w:r>
      <w:r w:rsidRPr="008040ED">
        <w:t xml:space="preserve"> clean cooking</w:t>
      </w:r>
      <w:r w:rsidR="00D866C2">
        <w:t xml:space="preserve"> products meeting relevant quality standards</w:t>
      </w:r>
      <w:r>
        <w:t xml:space="preserve">. In principle the PPF will be agnostic with regards to business models, but companies need to provide energy access to end-users directly (eg PAYGo solar companies, mini-grid developers, clean cooking distributors). Companies further </w:t>
      </w:r>
      <w:r w:rsidRPr="00A9250D">
        <w:rPr>
          <w:lang w:val="en-US"/>
        </w:rPr>
        <w:t>up in the supply chain (eg manufacturers not engaged in retail sales, software providers, etc) are not eligible.</w:t>
      </w:r>
    </w:p>
  </w:footnote>
  <w:footnote w:id="4">
    <w:p w14:paraId="46714CE8" w14:textId="77777777" w:rsidR="002C2219" w:rsidRPr="00EF0131" w:rsidRDefault="002C2219" w:rsidP="002C2219">
      <w:pPr>
        <w:pStyle w:val="FootnoteText"/>
      </w:pPr>
      <w:r w:rsidRPr="00A9250D">
        <w:rPr>
          <w:rStyle w:val="FootnoteReference"/>
          <w:lang w:val="en-US"/>
        </w:rPr>
        <w:footnoteRef/>
      </w:r>
      <w:r w:rsidRPr="00A9250D">
        <w:rPr>
          <w:lang w:val="en-US"/>
        </w:rPr>
        <w:t xml:space="preserve"> Countries in Eastern and Southern Africa region participating in ASCENT.</w:t>
      </w:r>
    </w:p>
  </w:footnote>
  <w:footnote w:id="5">
    <w:p w14:paraId="093971A0" w14:textId="77777777" w:rsidR="002C2219" w:rsidRPr="00EF0131" w:rsidRDefault="002C2219" w:rsidP="002C2219">
      <w:pPr>
        <w:pStyle w:val="FootnoteText"/>
      </w:pPr>
      <w:r>
        <w:rPr>
          <w:rStyle w:val="FootnoteReference"/>
        </w:rPr>
        <w:footnoteRef/>
      </w:r>
      <w:r>
        <w:t xml:space="preserve"> Revenue-generating companies in eligible sectors and eligible countries, regardless of size. Other criteria, eg locally-owned and -led, female-owned and -led companies, may be included in this category.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1157E"/>
    <w:multiLevelType w:val="hybridMultilevel"/>
    <w:tmpl w:val="93A0E0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A33605"/>
    <w:multiLevelType w:val="hybridMultilevel"/>
    <w:tmpl w:val="72A2343E"/>
    <w:lvl w:ilvl="0" w:tplc="3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01623D"/>
    <w:multiLevelType w:val="hybridMultilevel"/>
    <w:tmpl w:val="24FAE8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C08C3"/>
    <w:multiLevelType w:val="hybridMultilevel"/>
    <w:tmpl w:val="9884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13CBC"/>
    <w:multiLevelType w:val="hybridMultilevel"/>
    <w:tmpl w:val="6A5E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C44BCA"/>
    <w:multiLevelType w:val="hybridMultilevel"/>
    <w:tmpl w:val="888C0C8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4B02CB"/>
    <w:multiLevelType w:val="multilevel"/>
    <w:tmpl w:val="7C02BF8C"/>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97569B"/>
    <w:multiLevelType w:val="hybridMultilevel"/>
    <w:tmpl w:val="98941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87AD1"/>
    <w:multiLevelType w:val="hybridMultilevel"/>
    <w:tmpl w:val="EA7C330C"/>
    <w:lvl w:ilvl="0" w:tplc="A99EA712">
      <w:start w:val="1"/>
      <w:numFmt w:val="decimal"/>
      <w:lvlText w:val="%1."/>
      <w:lvlJc w:val="left"/>
      <w:pPr>
        <w:ind w:left="1440" w:hanging="360"/>
      </w:pPr>
    </w:lvl>
    <w:lvl w:ilvl="1" w:tplc="F67E0318">
      <w:start w:val="1"/>
      <w:numFmt w:val="decimal"/>
      <w:lvlText w:val="%2."/>
      <w:lvlJc w:val="left"/>
      <w:pPr>
        <w:ind w:left="1440" w:hanging="360"/>
      </w:pPr>
    </w:lvl>
    <w:lvl w:ilvl="2" w:tplc="F2A67BC0">
      <w:start w:val="1"/>
      <w:numFmt w:val="decimal"/>
      <w:lvlText w:val="%3."/>
      <w:lvlJc w:val="left"/>
      <w:pPr>
        <w:ind w:left="1440" w:hanging="360"/>
      </w:pPr>
    </w:lvl>
    <w:lvl w:ilvl="3" w:tplc="0B0AE326">
      <w:start w:val="1"/>
      <w:numFmt w:val="decimal"/>
      <w:lvlText w:val="%4."/>
      <w:lvlJc w:val="left"/>
      <w:pPr>
        <w:ind w:left="1440" w:hanging="360"/>
      </w:pPr>
    </w:lvl>
    <w:lvl w:ilvl="4" w:tplc="B464F0B0">
      <w:start w:val="1"/>
      <w:numFmt w:val="decimal"/>
      <w:lvlText w:val="%5."/>
      <w:lvlJc w:val="left"/>
      <w:pPr>
        <w:ind w:left="1440" w:hanging="360"/>
      </w:pPr>
    </w:lvl>
    <w:lvl w:ilvl="5" w:tplc="387EB22C">
      <w:start w:val="1"/>
      <w:numFmt w:val="decimal"/>
      <w:lvlText w:val="%6."/>
      <w:lvlJc w:val="left"/>
      <w:pPr>
        <w:ind w:left="1440" w:hanging="360"/>
      </w:pPr>
    </w:lvl>
    <w:lvl w:ilvl="6" w:tplc="D1740FCE">
      <w:start w:val="1"/>
      <w:numFmt w:val="decimal"/>
      <w:lvlText w:val="%7."/>
      <w:lvlJc w:val="left"/>
      <w:pPr>
        <w:ind w:left="1440" w:hanging="360"/>
      </w:pPr>
    </w:lvl>
    <w:lvl w:ilvl="7" w:tplc="AB405144">
      <w:start w:val="1"/>
      <w:numFmt w:val="decimal"/>
      <w:lvlText w:val="%8."/>
      <w:lvlJc w:val="left"/>
      <w:pPr>
        <w:ind w:left="1440" w:hanging="360"/>
      </w:pPr>
    </w:lvl>
    <w:lvl w:ilvl="8" w:tplc="31501950">
      <w:start w:val="1"/>
      <w:numFmt w:val="decimal"/>
      <w:lvlText w:val="%9."/>
      <w:lvlJc w:val="left"/>
      <w:pPr>
        <w:ind w:left="1440" w:hanging="360"/>
      </w:pPr>
    </w:lvl>
  </w:abstractNum>
  <w:abstractNum w:abstractNumId="9" w15:restartNumberingAfterBreak="0">
    <w:nsid w:val="1C941D35"/>
    <w:multiLevelType w:val="hybridMultilevel"/>
    <w:tmpl w:val="C3C05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75298C"/>
    <w:multiLevelType w:val="hybridMultilevel"/>
    <w:tmpl w:val="5FC44E36"/>
    <w:lvl w:ilvl="0" w:tplc="384C49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2D1445"/>
    <w:multiLevelType w:val="hybridMultilevel"/>
    <w:tmpl w:val="94866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E4E4C"/>
    <w:multiLevelType w:val="hybridMultilevel"/>
    <w:tmpl w:val="FE64D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5260C8"/>
    <w:multiLevelType w:val="hybridMultilevel"/>
    <w:tmpl w:val="5C64F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FB15D9"/>
    <w:multiLevelType w:val="hybridMultilevel"/>
    <w:tmpl w:val="CF543F16"/>
    <w:lvl w:ilvl="0" w:tplc="8BB8B208">
      <w:start w:val="1"/>
      <w:numFmt w:val="decimal"/>
      <w:lvlText w:val="%1."/>
      <w:lvlJc w:val="left"/>
      <w:pPr>
        <w:ind w:left="1440" w:hanging="360"/>
      </w:pPr>
    </w:lvl>
    <w:lvl w:ilvl="1" w:tplc="9202CD4E">
      <w:start w:val="1"/>
      <w:numFmt w:val="decimal"/>
      <w:lvlText w:val="%2."/>
      <w:lvlJc w:val="left"/>
      <w:pPr>
        <w:ind w:left="1440" w:hanging="360"/>
      </w:pPr>
    </w:lvl>
    <w:lvl w:ilvl="2" w:tplc="A322FE52">
      <w:start w:val="1"/>
      <w:numFmt w:val="decimal"/>
      <w:lvlText w:val="%3."/>
      <w:lvlJc w:val="left"/>
      <w:pPr>
        <w:ind w:left="1440" w:hanging="360"/>
      </w:pPr>
    </w:lvl>
    <w:lvl w:ilvl="3" w:tplc="30DEFAB0">
      <w:start w:val="1"/>
      <w:numFmt w:val="decimal"/>
      <w:lvlText w:val="%4."/>
      <w:lvlJc w:val="left"/>
      <w:pPr>
        <w:ind w:left="1440" w:hanging="360"/>
      </w:pPr>
    </w:lvl>
    <w:lvl w:ilvl="4" w:tplc="C426696A">
      <w:start w:val="1"/>
      <w:numFmt w:val="decimal"/>
      <w:lvlText w:val="%5."/>
      <w:lvlJc w:val="left"/>
      <w:pPr>
        <w:ind w:left="1440" w:hanging="360"/>
      </w:pPr>
    </w:lvl>
    <w:lvl w:ilvl="5" w:tplc="64BC0D54">
      <w:start w:val="1"/>
      <w:numFmt w:val="decimal"/>
      <w:lvlText w:val="%6."/>
      <w:lvlJc w:val="left"/>
      <w:pPr>
        <w:ind w:left="1440" w:hanging="360"/>
      </w:pPr>
    </w:lvl>
    <w:lvl w:ilvl="6" w:tplc="ABCC4F16">
      <w:start w:val="1"/>
      <w:numFmt w:val="decimal"/>
      <w:lvlText w:val="%7."/>
      <w:lvlJc w:val="left"/>
      <w:pPr>
        <w:ind w:left="1440" w:hanging="360"/>
      </w:pPr>
    </w:lvl>
    <w:lvl w:ilvl="7" w:tplc="6BB6ABCC">
      <w:start w:val="1"/>
      <w:numFmt w:val="decimal"/>
      <w:lvlText w:val="%8."/>
      <w:lvlJc w:val="left"/>
      <w:pPr>
        <w:ind w:left="1440" w:hanging="360"/>
      </w:pPr>
    </w:lvl>
    <w:lvl w:ilvl="8" w:tplc="59AA216E">
      <w:start w:val="1"/>
      <w:numFmt w:val="decimal"/>
      <w:lvlText w:val="%9."/>
      <w:lvlJc w:val="left"/>
      <w:pPr>
        <w:ind w:left="1440" w:hanging="360"/>
      </w:pPr>
    </w:lvl>
  </w:abstractNum>
  <w:abstractNum w:abstractNumId="15" w15:restartNumberingAfterBreak="0">
    <w:nsid w:val="360A517A"/>
    <w:multiLevelType w:val="hybridMultilevel"/>
    <w:tmpl w:val="01C8AB68"/>
    <w:lvl w:ilvl="0" w:tplc="384C496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58453E"/>
    <w:multiLevelType w:val="hybridMultilevel"/>
    <w:tmpl w:val="84727226"/>
    <w:lvl w:ilvl="0" w:tplc="04090019">
      <w:start w:val="1"/>
      <w:numFmt w:val="lowerLetter"/>
      <w:lvlText w:val="%1."/>
      <w:lvlJc w:val="left"/>
      <w:pPr>
        <w:ind w:left="720" w:hanging="360"/>
      </w:pPr>
    </w:lvl>
    <w:lvl w:ilvl="1" w:tplc="86F02790">
      <w:numFmt w:val="bullet"/>
      <w:lvlText w:val="–"/>
      <w:lvlJc w:val="left"/>
      <w:pPr>
        <w:ind w:left="1440" w:hanging="360"/>
      </w:pPr>
      <w:rPr>
        <w:rFonts w:ascii="Century Gothic" w:eastAsia="Times New Roman" w:hAnsi="Century Gothic" w:cstheme="minorHAns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5B32E9"/>
    <w:multiLevelType w:val="hybridMultilevel"/>
    <w:tmpl w:val="CA7A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6A50D9"/>
    <w:multiLevelType w:val="hybridMultilevel"/>
    <w:tmpl w:val="B75A9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B70BDF"/>
    <w:multiLevelType w:val="hybridMultilevel"/>
    <w:tmpl w:val="13EA449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EFD0201"/>
    <w:multiLevelType w:val="hybridMultilevel"/>
    <w:tmpl w:val="06E27FD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71628A8"/>
    <w:multiLevelType w:val="hybridMultilevel"/>
    <w:tmpl w:val="4162D8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2D0373"/>
    <w:multiLevelType w:val="hybridMultilevel"/>
    <w:tmpl w:val="E8467A2E"/>
    <w:lvl w:ilvl="0" w:tplc="694297FC">
      <w:start w:val="1"/>
      <w:numFmt w:val="bullet"/>
      <w:lvlText w:val="-"/>
      <w:lvlJc w:val="left"/>
      <w:pPr>
        <w:ind w:left="990" w:hanging="360"/>
      </w:pPr>
      <w:rPr>
        <w:rFonts w:ascii="Times New Roman" w:eastAsia="Calibri" w:hAnsi="Times New Roman" w:cs="Times New Roman" w:hint="default"/>
      </w:rPr>
    </w:lvl>
    <w:lvl w:ilvl="1" w:tplc="280A0003" w:tentative="1">
      <w:start w:val="1"/>
      <w:numFmt w:val="bullet"/>
      <w:lvlText w:val="o"/>
      <w:lvlJc w:val="left"/>
      <w:pPr>
        <w:ind w:left="1710" w:hanging="360"/>
      </w:pPr>
      <w:rPr>
        <w:rFonts w:ascii="Courier New" w:hAnsi="Courier New" w:cs="Courier New" w:hint="default"/>
      </w:rPr>
    </w:lvl>
    <w:lvl w:ilvl="2" w:tplc="280A0005" w:tentative="1">
      <w:start w:val="1"/>
      <w:numFmt w:val="bullet"/>
      <w:lvlText w:val=""/>
      <w:lvlJc w:val="left"/>
      <w:pPr>
        <w:ind w:left="2430" w:hanging="360"/>
      </w:pPr>
      <w:rPr>
        <w:rFonts w:ascii="Wingdings" w:hAnsi="Wingdings" w:hint="default"/>
      </w:rPr>
    </w:lvl>
    <w:lvl w:ilvl="3" w:tplc="280A0001" w:tentative="1">
      <w:start w:val="1"/>
      <w:numFmt w:val="bullet"/>
      <w:lvlText w:val=""/>
      <w:lvlJc w:val="left"/>
      <w:pPr>
        <w:ind w:left="3150" w:hanging="360"/>
      </w:pPr>
      <w:rPr>
        <w:rFonts w:ascii="Symbol" w:hAnsi="Symbol" w:hint="default"/>
      </w:rPr>
    </w:lvl>
    <w:lvl w:ilvl="4" w:tplc="280A0003" w:tentative="1">
      <w:start w:val="1"/>
      <w:numFmt w:val="bullet"/>
      <w:lvlText w:val="o"/>
      <w:lvlJc w:val="left"/>
      <w:pPr>
        <w:ind w:left="3870" w:hanging="360"/>
      </w:pPr>
      <w:rPr>
        <w:rFonts w:ascii="Courier New" w:hAnsi="Courier New" w:cs="Courier New" w:hint="default"/>
      </w:rPr>
    </w:lvl>
    <w:lvl w:ilvl="5" w:tplc="280A0005" w:tentative="1">
      <w:start w:val="1"/>
      <w:numFmt w:val="bullet"/>
      <w:lvlText w:val=""/>
      <w:lvlJc w:val="left"/>
      <w:pPr>
        <w:ind w:left="4590" w:hanging="360"/>
      </w:pPr>
      <w:rPr>
        <w:rFonts w:ascii="Wingdings" w:hAnsi="Wingdings" w:hint="default"/>
      </w:rPr>
    </w:lvl>
    <w:lvl w:ilvl="6" w:tplc="280A0001" w:tentative="1">
      <w:start w:val="1"/>
      <w:numFmt w:val="bullet"/>
      <w:lvlText w:val=""/>
      <w:lvlJc w:val="left"/>
      <w:pPr>
        <w:ind w:left="5310" w:hanging="360"/>
      </w:pPr>
      <w:rPr>
        <w:rFonts w:ascii="Symbol" w:hAnsi="Symbol" w:hint="default"/>
      </w:rPr>
    </w:lvl>
    <w:lvl w:ilvl="7" w:tplc="280A0003" w:tentative="1">
      <w:start w:val="1"/>
      <w:numFmt w:val="bullet"/>
      <w:lvlText w:val="o"/>
      <w:lvlJc w:val="left"/>
      <w:pPr>
        <w:ind w:left="6030" w:hanging="360"/>
      </w:pPr>
      <w:rPr>
        <w:rFonts w:ascii="Courier New" w:hAnsi="Courier New" w:cs="Courier New" w:hint="default"/>
      </w:rPr>
    </w:lvl>
    <w:lvl w:ilvl="8" w:tplc="280A0005" w:tentative="1">
      <w:start w:val="1"/>
      <w:numFmt w:val="bullet"/>
      <w:lvlText w:val=""/>
      <w:lvlJc w:val="left"/>
      <w:pPr>
        <w:ind w:left="6750" w:hanging="360"/>
      </w:pPr>
      <w:rPr>
        <w:rFonts w:ascii="Wingdings" w:hAnsi="Wingdings" w:hint="default"/>
      </w:rPr>
    </w:lvl>
  </w:abstractNum>
  <w:abstractNum w:abstractNumId="23" w15:restartNumberingAfterBreak="0">
    <w:nsid w:val="61954A74"/>
    <w:multiLevelType w:val="hybridMultilevel"/>
    <w:tmpl w:val="3002338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707B6260"/>
    <w:multiLevelType w:val="hybridMultilevel"/>
    <w:tmpl w:val="973A1AFC"/>
    <w:lvl w:ilvl="0" w:tplc="384C496C">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2D05F0"/>
    <w:multiLevelType w:val="hybridMultilevel"/>
    <w:tmpl w:val="F6023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723A7"/>
    <w:multiLevelType w:val="hybridMultilevel"/>
    <w:tmpl w:val="0D7E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668766">
    <w:abstractNumId w:val="10"/>
  </w:num>
  <w:num w:numId="2" w16cid:durableId="1027483249">
    <w:abstractNumId w:val="24"/>
  </w:num>
  <w:num w:numId="3" w16cid:durableId="828180061">
    <w:abstractNumId w:val="6"/>
  </w:num>
  <w:num w:numId="4" w16cid:durableId="967860075">
    <w:abstractNumId w:val="6"/>
  </w:num>
  <w:num w:numId="5" w16cid:durableId="646668065">
    <w:abstractNumId w:val="15"/>
  </w:num>
  <w:num w:numId="6" w16cid:durableId="2115704901">
    <w:abstractNumId w:val="17"/>
  </w:num>
  <w:num w:numId="7" w16cid:durableId="2103794905">
    <w:abstractNumId w:val="18"/>
  </w:num>
  <w:num w:numId="8" w16cid:durableId="1035884059">
    <w:abstractNumId w:val="9"/>
  </w:num>
  <w:num w:numId="9" w16cid:durableId="393620687">
    <w:abstractNumId w:val="22"/>
  </w:num>
  <w:num w:numId="10" w16cid:durableId="866600689">
    <w:abstractNumId w:val="16"/>
  </w:num>
  <w:num w:numId="11" w16cid:durableId="1331569144">
    <w:abstractNumId w:val="21"/>
  </w:num>
  <w:num w:numId="12" w16cid:durableId="1835997122">
    <w:abstractNumId w:val="5"/>
  </w:num>
  <w:num w:numId="13" w16cid:durableId="910971272">
    <w:abstractNumId w:val="2"/>
  </w:num>
  <w:num w:numId="14" w16cid:durableId="1421292776">
    <w:abstractNumId w:val="25"/>
  </w:num>
  <w:num w:numId="15" w16cid:durableId="1460418481">
    <w:abstractNumId w:val="12"/>
  </w:num>
  <w:num w:numId="16" w16cid:durableId="1671906305">
    <w:abstractNumId w:val="7"/>
  </w:num>
  <w:num w:numId="17" w16cid:durableId="1295134246">
    <w:abstractNumId w:val="3"/>
  </w:num>
  <w:num w:numId="18" w16cid:durableId="732392048">
    <w:abstractNumId w:val="11"/>
  </w:num>
  <w:num w:numId="19" w16cid:durableId="1664356045">
    <w:abstractNumId w:val="4"/>
  </w:num>
  <w:num w:numId="20" w16cid:durableId="1206528520">
    <w:abstractNumId w:val="13"/>
  </w:num>
  <w:num w:numId="21" w16cid:durableId="479999232">
    <w:abstractNumId w:val="26"/>
  </w:num>
  <w:num w:numId="22" w16cid:durableId="1077820733">
    <w:abstractNumId w:val="8"/>
  </w:num>
  <w:num w:numId="23" w16cid:durableId="2120836614">
    <w:abstractNumId w:val="14"/>
  </w:num>
  <w:num w:numId="24" w16cid:durableId="355430432">
    <w:abstractNumId w:val="1"/>
  </w:num>
  <w:num w:numId="25" w16cid:durableId="1400902101">
    <w:abstractNumId w:val="20"/>
  </w:num>
  <w:num w:numId="26" w16cid:durableId="694037878">
    <w:abstractNumId w:val="19"/>
  </w:num>
  <w:num w:numId="27" w16cid:durableId="100807725">
    <w:abstractNumId w:val="23"/>
  </w:num>
  <w:num w:numId="28" w16cid:durableId="165243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93D"/>
    <w:rsid w:val="00004344"/>
    <w:rsid w:val="00033562"/>
    <w:rsid w:val="00033ADA"/>
    <w:rsid w:val="00037476"/>
    <w:rsid w:val="00041239"/>
    <w:rsid w:val="00042C1F"/>
    <w:rsid w:val="00044497"/>
    <w:rsid w:val="00097ECE"/>
    <w:rsid w:val="000A2686"/>
    <w:rsid w:val="000A7974"/>
    <w:rsid w:val="000D1CDA"/>
    <w:rsid w:val="000E17BD"/>
    <w:rsid w:val="000F0355"/>
    <w:rsid w:val="00100D01"/>
    <w:rsid w:val="0011744A"/>
    <w:rsid w:val="0012366C"/>
    <w:rsid w:val="00131BBF"/>
    <w:rsid w:val="00142337"/>
    <w:rsid w:val="00142F6B"/>
    <w:rsid w:val="00170934"/>
    <w:rsid w:val="0017488D"/>
    <w:rsid w:val="00174C8A"/>
    <w:rsid w:val="00175161"/>
    <w:rsid w:val="001764D0"/>
    <w:rsid w:val="00186204"/>
    <w:rsid w:val="00187225"/>
    <w:rsid w:val="001A2498"/>
    <w:rsid w:val="001B182F"/>
    <w:rsid w:val="001C1C3D"/>
    <w:rsid w:val="001D0FEB"/>
    <w:rsid w:val="001E0847"/>
    <w:rsid w:val="00200D88"/>
    <w:rsid w:val="00214FAC"/>
    <w:rsid w:val="00230E79"/>
    <w:rsid w:val="00235CA6"/>
    <w:rsid w:val="00242737"/>
    <w:rsid w:val="002443CD"/>
    <w:rsid w:val="002508DF"/>
    <w:rsid w:val="00264117"/>
    <w:rsid w:val="00264730"/>
    <w:rsid w:val="002901E4"/>
    <w:rsid w:val="00293E18"/>
    <w:rsid w:val="002947B0"/>
    <w:rsid w:val="00294DE2"/>
    <w:rsid w:val="002B3F2E"/>
    <w:rsid w:val="002C18BD"/>
    <w:rsid w:val="002C2219"/>
    <w:rsid w:val="002C5075"/>
    <w:rsid w:val="002E2C64"/>
    <w:rsid w:val="002E3D55"/>
    <w:rsid w:val="002E5A51"/>
    <w:rsid w:val="003053C4"/>
    <w:rsid w:val="00316C26"/>
    <w:rsid w:val="00331BFD"/>
    <w:rsid w:val="003343ED"/>
    <w:rsid w:val="003412EE"/>
    <w:rsid w:val="00355F8B"/>
    <w:rsid w:val="003656D6"/>
    <w:rsid w:val="00367467"/>
    <w:rsid w:val="003819DD"/>
    <w:rsid w:val="00381FE3"/>
    <w:rsid w:val="0038621B"/>
    <w:rsid w:val="00394F6F"/>
    <w:rsid w:val="003A1F02"/>
    <w:rsid w:val="003A6B03"/>
    <w:rsid w:val="003C1124"/>
    <w:rsid w:val="003C6E0D"/>
    <w:rsid w:val="003D7441"/>
    <w:rsid w:val="00413624"/>
    <w:rsid w:val="00433129"/>
    <w:rsid w:val="004377ED"/>
    <w:rsid w:val="00440AA0"/>
    <w:rsid w:val="004416CE"/>
    <w:rsid w:val="004575CE"/>
    <w:rsid w:val="0046435F"/>
    <w:rsid w:val="00466059"/>
    <w:rsid w:val="004677E2"/>
    <w:rsid w:val="00473E67"/>
    <w:rsid w:val="00487009"/>
    <w:rsid w:val="004A073B"/>
    <w:rsid w:val="004A6C52"/>
    <w:rsid w:val="004E1B69"/>
    <w:rsid w:val="004E2309"/>
    <w:rsid w:val="004E234D"/>
    <w:rsid w:val="004F0964"/>
    <w:rsid w:val="004F5FB8"/>
    <w:rsid w:val="004F6EED"/>
    <w:rsid w:val="005327B4"/>
    <w:rsid w:val="0054117C"/>
    <w:rsid w:val="00570CFA"/>
    <w:rsid w:val="00572B83"/>
    <w:rsid w:val="00586EE8"/>
    <w:rsid w:val="0059673C"/>
    <w:rsid w:val="005A07C8"/>
    <w:rsid w:val="005A37CC"/>
    <w:rsid w:val="005C0016"/>
    <w:rsid w:val="005C0199"/>
    <w:rsid w:val="005C5A37"/>
    <w:rsid w:val="005C5B29"/>
    <w:rsid w:val="005D1336"/>
    <w:rsid w:val="005E0301"/>
    <w:rsid w:val="005E4E33"/>
    <w:rsid w:val="005E67FA"/>
    <w:rsid w:val="005F4DEB"/>
    <w:rsid w:val="006204D8"/>
    <w:rsid w:val="0064116E"/>
    <w:rsid w:val="00674D3E"/>
    <w:rsid w:val="00690689"/>
    <w:rsid w:val="006A2512"/>
    <w:rsid w:val="006A4269"/>
    <w:rsid w:val="006C0405"/>
    <w:rsid w:val="00704D4D"/>
    <w:rsid w:val="007104FD"/>
    <w:rsid w:val="0074482B"/>
    <w:rsid w:val="007451C7"/>
    <w:rsid w:val="00745487"/>
    <w:rsid w:val="00755F05"/>
    <w:rsid w:val="0078406F"/>
    <w:rsid w:val="007863ED"/>
    <w:rsid w:val="007B5E36"/>
    <w:rsid w:val="007C4B7C"/>
    <w:rsid w:val="007C4D67"/>
    <w:rsid w:val="007C75CB"/>
    <w:rsid w:val="007E1EBC"/>
    <w:rsid w:val="007E246E"/>
    <w:rsid w:val="007E3079"/>
    <w:rsid w:val="007E670F"/>
    <w:rsid w:val="007F19C6"/>
    <w:rsid w:val="007F7E5C"/>
    <w:rsid w:val="0080242D"/>
    <w:rsid w:val="0081076D"/>
    <w:rsid w:val="00812705"/>
    <w:rsid w:val="0083497F"/>
    <w:rsid w:val="00841D06"/>
    <w:rsid w:val="00871C1D"/>
    <w:rsid w:val="00881B00"/>
    <w:rsid w:val="008A1929"/>
    <w:rsid w:val="008A5325"/>
    <w:rsid w:val="008F6941"/>
    <w:rsid w:val="00920072"/>
    <w:rsid w:val="009257CC"/>
    <w:rsid w:val="00926954"/>
    <w:rsid w:val="009573CA"/>
    <w:rsid w:val="00960792"/>
    <w:rsid w:val="0096159E"/>
    <w:rsid w:val="00970F48"/>
    <w:rsid w:val="009733CE"/>
    <w:rsid w:val="00995062"/>
    <w:rsid w:val="009A5217"/>
    <w:rsid w:val="009B1E6A"/>
    <w:rsid w:val="009C059B"/>
    <w:rsid w:val="009C3BB3"/>
    <w:rsid w:val="009D19FE"/>
    <w:rsid w:val="009F19DB"/>
    <w:rsid w:val="00A12E38"/>
    <w:rsid w:val="00A36F35"/>
    <w:rsid w:val="00A43A49"/>
    <w:rsid w:val="00A5649B"/>
    <w:rsid w:val="00A728F0"/>
    <w:rsid w:val="00A75356"/>
    <w:rsid w:val="00A84834"/>
    <w:rsid w:val="00A84F07"/>
    <w:rsid w:val="00A9250D"/>
    <w:rsid w:val="00A93555"/>
    <w:rsid w:val="00A95B94"/>
    <w:rsid w:val="00AB35FB"/>
    <w:rsid w:val="00AD2CB7"/>
    <w:rsid w:val="00AD30F1"/>
    <w:rsid w:val="00AE20DE"/>
    <w:rsid w:val="00AE5831"/>
    <w:rsid w:val="00AF7CD3"/>
    <w:rsid w:val="00B03BCA"/>
    <w:rsid w:val="00B04CE2"/>
    <w:rsid w:val="00B11EA8"/>
    <w:rsid w:val="00B532E5"/>
    <w:rsid w:val="00B673E8"/>
    <w:rsid w:val="00B675D8"/>
    <w:rsid w:val="00B8367E"/>
    <w:rsid w:val="00B836AB"/>
    <w:rsid w:val="00B94E56"/>
    <w:rsid w:val="00BA16C8"/>
    <w:rsid w:val="00BA5374"/>
    <w:rsid w:val="00BB2FDD"/>
    <w:rsid w:val="00BD7646"/>
    <w:rsid w:val="00BF1A43"/>
    <w:rsid w:val="00C06C47"/>
    <w:rsid w:val="00C12EE0"/>
    <w:rsid w:val="00C156EB"/>
    <w:rsid w:val="00C21DEB"/>
    <w:rsid w:val="00C2223F"/>
    <w:rsid w:val="00C22A6B"/>
    <w:rsid w:val="00C27F24"/>
    <w:rsid w:val="00C33764"/>
    <w:rsid w:val="00C465F6"/>
    <w:rsid w:val="00C5293D"/>
    <w:rsid w:val="00CB4BB2"/>
    <w:rsid w:val="00CB5187"/>
    <w:rsid w:val="00CC2C78"/>
    <w:rsid w:val="00CC374A"/>
    <w:rsid w:val="00CC50F7"/>
    <w:rsid w:val="00CF1572"/>
    <w:rsid w:val="00CF45B8"/>
    <w:rsid w:val="00CF52E5"/>
    <w:rsid w:val="00D10341"/>
    <w:rsid w:val="00D17EB7"/>
    <w:rsid w:val="00D46BFE"/>
    <w:rsid w:val="00D618D9"/>
    <w:rsid w:val="00D62E99"/>
    <w:rsid w:val="00D6775F"/>
    <w:rsid w:val="00D866C2"/>
    <w:rsid w:val="00D86C19"/>
    <w:rsid w:val="00D91660"/>
    <w:rsid w:val="00DD5CFB"/>
    <w:rsid w:val="00DE12F3"/>
    <w:rsid w:val="00DE403E"/>
    <w:rsid w:val="00E217E2"/>
    <w:rsid w:val="00E24962"/>
    <w:rsid w:val="00E330EC"/>
    <w:rsid w:val="00E4449A"/>
    <w:rsid w:val="00E522D5"/>
    <w:rsid w:val="00E86CA5"/>
    <w:rsid w:val="00E91FA8"/>
    <w:rsid w:val="00E95A7B"/>
    <w:rsid w:val="00EC7D07"/>
    <w:rsid w:val="00ED3A24"/>
    <w:rsid w:val="00ED62F6"/>
    <w:rsid w:val="00EE65ED"/>
    <w:rsid w:val="00EF0131"/>
    <w:rsid w:val="00EF5B0C"/>
    <w:rsid w:val="00F263A5"/>
    <w:rsid w:val="00F34604"/>
    <w:rsid w:val="00F42B53"/>
    <w:rsid w:val="00F64DAE"/>
    <w:rsid w:val="00F72FA3"/>
    <w:rsid w:val="00F74240"/>
    <w:rsid w:val="00F75C1F"/>
    <w:rsid w:val="00F81C73"/>
    <w:rsid w:val="00F915FC"/>
    <w:rsid w:val="00F95290"/>
    <w:rsid w:val="00FA1D75"/>
    <w:rsid w:val="00FA47D1"/>
    <w:rsid w:val="00FC1458"/>
    <w:rsid w:val="00FC6B00"/>
    <w:rsid w:val="00FE59E0"/>
    <w:rsid w:val="00FF7EDB"/>
    <w:rsid w:val="01752B5A"/>
    <w:rsid w:val="13B55329"/>
    <w:rsid w:val="21912269"/>
    <w:rsid w:val="4306D780"/>
    <w:rsid w:val="47F8FCEB"/>
    <w:rsid w:val="5BCC8D7D"/>
    <w:rsid w:val="710BEC3C"/>
    <w:rsid w:val="75545DA0"/>
    <w:rsid w:val="7E20F75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74B8"/>
  <w15:chartTrackingRefBased/>
  <w15:docId w15:val="{872404A9-60D5-4F1D-BAB8-27C6F6F8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93D"/>
    <w:rPr>
      <w:kern w:val="0"/>
      <w14:ligatures w14:val="none"/>
    </w:rPr>
  </w:style>
  <w:style w:type="paragraph" w:styleId="Heading1">
    <w:name w:val="heading 1"/>
    <w:basedOn w:val="ListParagraph"/>
    <w:next w:val="Normal"/>
    <w:link w:val="Heading1Char"/>
    <w:uiPriority w:val="9"/>
    <w:qFormat/>
    <w:rsid w:val="00C5293D"/>
    <w:pPr>
      <w:numPr>
        <w:numId w:val="3"/>
      </w:numPr>
      <w:ind w:left="426" w:hanging="426"/>
      <w:outlineLvl w:val="0"/>
    </w:pPr>
    <w:rPr>
      <w:b/>
      <w:bCs/>
    </w:rPr>
  </w:style>
  <w:style w:type="paragraph" w:styleId="Heading2">
    <w:name w:val="heading 2"/>
    <w:basedOn w:val="Heading1"/>
    <w:next w:val="Normal"/>
    <w:link w:val="Heading2Char"/>
    <w:uiPriority w:val="9"/>
    <w:unhideWhenUsed/>
    <w:qFormat/>
    <w:rsid w:val="00C5293D"/>
    <w:pPr>
      <w:numPr>
        <w:ilvl w:val="1"/>
      </w:numPr>
      <w:ind w:left="426" w:hanging="426"/>
      <w:outlineLvl w:val="1"/>
    </w:pPr>
    <w:rPr>
      <w:b w:val="0"/>
      <w:bCs w:val="0"/>
      <w:i/>
      <w:iCs/>
    </w:rPr>
  </w:style>
  <w:style w:type="paragraph" w:styleId="Heading3">
    <w:name w:val="heading 3"/>
    <w:basedOn w:val="Normal"/>
    <w:next w:val="Normal"/>
    <w:link w:val="Heading3Char"/>
    <w:uiPriority w:val="9"/>
    <w:semiHidden/>
    <w:unhideWhenUsed/>
    <w:qFormat/>
    <w:rsid w:val="00C529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29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29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29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9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9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9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93D"/>
    <w:rPr>
      <w:b/>
      <w:bCs/>
      <w:kern w:val="0"/>
      <w14:ligatures w14:val="none"/>
    </w:rPr>
  </w:style>
  <w:style w:type="character" w:customStyle="1" w:styleId="Heading2Char">
    <w:name w:val="Heading 2 Char"/>
    <w:basedOn w:val="DefaultParagraphFont"/>
    <w:link w:val="Heading2"/>
    <w:uiPriority w:val="9"/>
    <w:rsid w:val="00C5293D"/>
    <w:rPr>
      <w:i/>
      <w:iCs/>
      <w:kern w:val="0"/>
      <w14:ligatures w14:val="none"/>
    </w:rPr>
  </w:style>
  <w:style w:type="character" w:customStyle="1" w:styleId="Heading3Char">
    <w:name w:val="Heading 3 Char"/>
    <w:basedOn w:val="DefaultParagraphFont"/>
    <w:link w:val="Heading3"/>
    <w:uiPriority w:val="9"/>
    <w:semiHidden/>
    <w:rsid w:val="00C529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29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29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29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9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9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93D"/>
    <w:rPr>
      <w:rFonts w:eastAsiaTheme="majorEastAsia" w:cstheme="majorBidi"/>
      <w:color w:val="272727" w:themeColor="text1" w:themeTint="D8"/>
    </w:rPr>
  </w:style>
  <w:style w:type="paragraph" w:styleId="Title">
    <w:name w:val="Title"/>
    <w:basedOn w:val="Normal"/>
    <w:next w:val="Normal"/>
    <w:link w:val="TitleChar"/>
    <w:uiPriority w:val="10"/>
    <w:qFormat/>
    <w:rsid w:val="00C52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9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9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93D"/>
    <w:pPr>
      <w:spacing w:before="160"/>
      <w:jc w:val="center"/>
    </w:pPr>
    <w:rPr>
      <w:i/>
      <w:iCs/>
      <w:color w:val="404040" w:themeColor="text1" w:themeTint="BF"/>
    </w:rPr>
  </w:style>
  <w:style w:type="character" w:customStyle="1" w:styleId="QuoteChar">
    <w:name w:val="Quote Char"/>
    <w:basedOn w:val="DefaultParagraphFont"/>
    <w:link w:val="Quote"/>
    <w:uiPriority w:val="29"/>
    <w:rsid w:val="00C5293D"/>
    <w:rPr>
      <w:i/>
      <w:iCs/>
      <w:color w:val="404040" w:themeColor="text1" w:themeTint="BF"/>
    </w:rPr>
  </w:style>
  <w:style w:type="paragraph" w:styleId="ListParagraph">
    <w:name w:val="List Paragraph"/>
    <w:aliases w:val="Citation List,본문(내용),List Paragraph (numbered (a)),heading 6,List Paragraph1,Bullets"/>
    <w:basedOn w:val="Normal"/>
    <w:link w:val="ListParagraphChar"/>
    <w:uiPriority w:val="34"/>
    <w:qFormat/>
    <w:rsid w:val="00C5293D"/>
    <w:pPr>
      <w:ind w:left="720"/>
      <w:contextualSpacing/>
    </w:pPr>
  </w:style>
  <w:style w:type="character" w:styleId="IntenseEmphasis">
    <w:name w:val="Intense Emphasis"/>
    <w:basedOn w:val="DefaultParagraphFont"/>
    <w:uiPriority w:val="21"/>
    <w:qFormat/>
    <w:rsid w:val="00C5293D"/>
    <w:rPr>
      <w:i/>
      <w:iCs/>
      <w:color w:val="2F5496" w:themeColor="accent1" w:themeShade="BF"/>
    </w:rPr>
  </w:style>
  <w:style w:type="paragraph" w:styleId="IntenseQuote">
    <w:name w:val="Intense Quote"/>
    <w:basedOn w:val="Normal"/>
    <w:next w:val="Normal"/>
    <w:link w:val="IntenseQuoteChar"/>
    <w:uiPriority w:val="30"/>
    <w:qFormat/>
    <w:rsid w:val="00C529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293D"/>
    <w:rPr>
      <w:i/>
      <w:iCs/>
      <w:color w:val="2F5496" w:themeColor="accent1" w:themeShade="BF"/>
    </w:rPr>
  </w:style>
  <w:style w:type="character" w:styleId="IntenseReference">
    <w:name w:val="Intense Reference"/>
    <w:basedOn w:val="DefaultParagraphFont"/>
    <w:uiPriority w:val="32"/>
    <w:qFormat/>
    <w:rsid w:val="00C5293D"/>
    <w:rPr>
      <w:b/>
      <w:bCs/>
      <w:smallCaps/>
      <w:color w:val="2F5496" w:themeColor="accent1" w:themeShade="BF"/>
      <w:spacing w:val="5"/>
    </w:rPr>
  </w:style>
  <w:style w:type="character" w:styleId="Hyperlink">
    <w:name w:val="Hyperlink"/>
    <w:basedOn w:val="DefaultParagraphFont"/>
    <w:uiPriority w:val="99"/>
    <w:unhideWhenUsed/>
    <w:rsid w:val="00C5293D"/>
    <w:rPr>
      <w:color w:val="0000FF"/>
      <w:u w:val="single"/>
    </w:rPr>
  </w:style>
  <w:style w:type="paragraph" w:styleId="FootnoteText">
    <w:name w:val="footnote text"/>
    <w:basedOn w:val="Normal"/>
    <w:link w:val="FootnoteTextChar"/>
    <w:uiPriority w:val="99"/>
    <w:unhideWhenUsed/>
    <w:rsid w:val="00C5293D"/>
    <w:pPr>
      <w:spacing w:after="0" w:line="240" w:lineRule="auto"/>
    </w:pPr>
    <w:rPr>
      <w:sz w:val="20"/>
      <w:szCs w:val="20"/>
    </w:rPr>
  </w:style>
  <w:style w:type="character" w:customStyle="1" w:styleId="FootnoteTextChar">
    <w:name w:val="Footnote Text Char"/>
    <w:basedOn w:val="DefaultParagraphFont"/>
    <w:link w:val="FootnoteText"/>
    <w:uiPriority w:val="99"/>
    <w:rsid w:val="00C5293D"/>
    <w:rPr>
      <w:kern w:val="0"/>
      <w:sz w:val="20"/>
      <w:szCs w:val="20"/>
      <w14:ligatures w14:val="none"/>
    </w:rPr>
  </w:style>
  <w:style w:type="character" w:styleId="FootnoteReference">
    <w:name w:val="footnote reference"/>
    <w:basedOn w:val="DefaultParagraphFont"/>
    <w:uiPriority w:val="99"/>
    <w:semiHidden/>
    <w:unhideWhenUsed/>
    <w:rsid w:val="00C5293D"/>
    <w:rPr>
      <w:vertAlign w:val="superscript"/>
    </w:rPr>
  </w:style>
  <w:style w:type="character" w:styleId="CommentReference">
    <w:name w:val="annotation reference"/>
    <w:basedOn w:val="DefaultParagraphFont"/>
    <w:uiPriority w:val="99"/>
    <w:semiHidden/>
    <w:unhideWhenUsed/>
    <w:rsid w:val="003656D6"/>
    <w:rPr>
      <w:sz w:val="16"/>
      <w:szCs w:val="16"/>
    </w:rPr>
  </w:style>
  <w:style w:type="paragraph" w:styleId="CommentText">
    <w:name w:val="annotation text"/>
    <w:basedOn w:val="Normal"/>
    <w:link w:val="CommentTextChar"/>
    <w:uiPriority w:val="99"/>
    <w:unhideWhenUsed/>
    <w:rsid w:val="003656D6"/>
    <w:pPr>
      <w:spacing w:line="240" w:lineRule="auto"/>
    </w:pPr>
    <w:rPr>
      <w:sz w:val="20"/>
      <w:szCs w:val="20"/>
    </w:rPr>
  </w:style>
  <w:style w:type="character" w:customStyle="1" w:styleId="CommentTextChar">
    <w:name w:val="Comment Text Char"/>
    <w:basedOn w:val="DefaultParagraphFont"/>
    <w:link w:val="CommentText"/>
    <w:uiPriority w:val="99"/>
    <w:rsid w:val="003656D6"/>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656D6"/>
    <w:rPr>
      <w:b/>
      <w:bCs/>
    </w:rPr>
  </w:style>
  <w:style w:type="character" w:customStyle="1" w:styleId="CommentSubjectChar">
    <w:name w:val="Comment Subject Char"/>
    <w:basedOn w:val="CommentTextChar"/>
    <w:link w:val="CommentSubject"/>
    <w:uiPriority w:val="99"/>
    <w:semiHidden/>
    <w:rsid w:val="003656D6"/>
    <w:rPr>
      <w:b/>
      <w:bCs/>
      <w:kern w:val="0"/>
      <w:sz w:val="20"/>
      <w:szCs w:val="20"/>
      <w14:ligatures w14:val="none"/>
    </w:rPr>
  </w:style>
  <w:style w:type="character" w:styleId="UnresolvedMention">
    <w:name w:val="Unresolved Mention"/>
    <w:basedOn w:val="DefaultParagraphFont"/>
    <w:uiPriority w:val="99"/>
    <w:semiHidden/>
    <w:unhideWhenUsed/>
    <w:rsid w:val="003656D6"/>
    <w:rPr>
      <w:color w:val="605E5C"/>
      <w:shd w:val="clear" w:color="auto" w:fill="E1DFDD"/>
    </w:rPr>
  </w:style>
  <w:style w:type="table" w:styleId="TableGrid">
    <w:name w:val="Table Grid"/>
    <w:basedOn w:val="TableNormal"/>
    <w:uiPriority w:val="39"/>
    <w:rsid w:val="00E330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704D4D"/>
    <w:pPr>
      <w:spacing w:after="200"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5C5B29"/>
    <w:rPr>
      <w:color w:val="954F72" w:themeColor="followedHyperlink"/>
      <w:u w:val="single"/>
    </w:rPr>
  </w:style>
  <w:style w:type="character" w:customStyle="1" w:styleId="ListParagraphChar">
    <w:name w:val="List Paragraph Char"/>
    <w:aliases w:val="Citation List Char,본문(내용) Char,List Paragraph (numbered (a)) Char,heading 6 Char,List Paragraph1 Char,Bullets Char"/>
    <w:basedOn w:val="DefaultParagraphFont"/>
    <w:link w:val="ListParagraph"/>
    <w:uiPriority w:val="34"/>
    <w:rsid w:val="002C2219"/>
    <w:rPr>
      <w:kern w:val="0"/>
      <w14:ligatures w14:val="none"/>
    </w:rPr>
  </w:style>
  <w:style w:type="paragraph" w:styleId="Revision">
    <w:name w:val="Revision"/>
    <w:hidden/>
    <w:uiPriority w:val="99"/>
    <w:semiHidden/>
    <w:rsid w:val="00A84834"/>
    <w:pPr>
      <w:spacing w:after="0" w:line="240" w:lineRule="auto"/>
    </w:pPr>
    <w:rPr>
      <w:kern w:val="0"/>
      <w14:ligatures w14:val="none"/>
    </w:rPr>
  </w:style>
  <w:style w:type="paragraph" w:styleId="Header">
    <w:name w:val="header"/>
    <w:basedOn w:val="Normal"/>
    <w:link w:val="HeaderChar"/>
    <w:uiPriority w:val="99"/>
    <w:semiHidden/>
    <w:unhideWhenUsed/>
    <w:rsid w:val="00B675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75D8"/>
    <w:rPr>
      <w:kern w:val="0"/>
      <w14:ligatures w14:val="none"/>
    </w:rPr>
  </w:style>
  <w:style w:type="paragraph" w:styleId="Footer">
    <w:name w:val="footer"/>
    <w:basedOn w:val="Normal"/>
    <w:link w:val="FooterChar"/>
    <w:uiPriority w:val="99"/>
    <w:semiHidden/>
    <w:unhideWhenUsed/>
    <w:rsid w:val="00B675D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75D8"/>
    <w:rPr>
      <w:kern w:val="0"/>
      <w14:ligatures w14:val="none"/>
    </w:rPr>
  </w:style>
  <w:style w:type="paragraph" w:styleId="BodyText">
    <w:name w:val="Body Text"/>
    <w:basedOn w:val="Normal"/>
    <w:link w:val="BodyTextChar"/>
    <w:rsid w:val="00264117"/>
    <w:pPr>
      <w:keepLines/>
      <w:spacing w:before="120" w:after="120" w:line="280" w:lineRule="atLeast"/>
      <w:jc w:val="both"/>
    </w:pPr>
    <w:rPr>
      <w:rFonts w:ascii="Times New Roman" w:eastAsia="Times New Roman" w:hAnsi="Times New Roman" w:cs="Times New Roman"/>
      <w:sz w:val="20"/>
      <w:szCs w:val="20"/>
      <w:lang w:val="sv-SE" w:eastAsia="en-GB"/>
    </w:rPr>
  </w:style>
  <w:style w:type="character" w:customStyle="1" w:styleId="BodyTextChar">
    <w:name w:val="Body Text Char"/>
    <w:basedOn w:val="DefaultParagraphFont"/>
    <w:link w:val="BodyText"/>
    <w:rsid w:val="00264117"/>
    <w:rPr>
      <w:rFonts w:ascii="Times New Roman" w:eastAsia="Times New Roman" w:hAnsi="Times New Roman" w:cs="Times New Roman"/>
      <w:kern w:val="0"/>
      <w:sz w:val="20"/>
      <w:szCs w:val="20"/>
      <w:lang w:val="sv-SE"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A4947-CE3E-47BB-9A1C-CCE8E4E462AC}">
  <ds:schemaRefs>
    <ds:schemaRef ds:uri="http://schemas.microsoft.com/sharepoint/v3/contenttype/forms"/>
  </ds:schemaRefs>
</ds:datastoreItem>
</file>

<file path=customXml/itemProps2.xml><?xml version="1.0" encoding="utf-8"?>
<ds:datastoreItem xmlns:ds="http://schemas.openxmlformats.org/officeDocument/2006/customXml" ds:itemID="{5F1C855F-5F7D-4CBF-AF4E-B40B8835A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4AD609-709C-43E0-BDCE-FCE13E8557B4}">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F73B2CD5-C349-4709-9A67-54918432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5402</Words>
  <Characters>30792</Characters>
  <Application>Microsoft Office Word</Application>
  <DocSecurity>4</DocSecurity>
  <Lines>256</Lines>
  <Paragraphs>72</Paragraphs>
  <ScaleCrop>false</ScaleCrop>
  <Company/>
  <LinksUpToDate>false</LinksUpToDate>
  <CharactersWithSpaces>36122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Hinrichs</dc:creator>
  <cp:keywords/>
  <dc:description/>
  <cp:lastModifiedBy>Joyce Mutale</cp:lastModifiedBy>
  <cp:revision>2</cp:revision>
  <dcterms:created xsi:type="dcterms:W3CDTF">2025-04-03T07:17:00Z</dcterms:created>
  <dcterms:modified xsi:type="dcterms:W3CDTF">2025-04-03T07:17:00Z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