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76D8" w14:textId="5719F857" w:rsidR="006C54B5" w:rsidRPr="00C1472F" w:rsidRDefault="00833F7C" w:rsidP="00C13E20">
      <w:pPr>
        <w:spacing w:after="0" w:line="240" w:lineRule="auto"/>
        <w:outlineLvl w:val="0"/>
        <w:rPr>
          <w:rFonts w:ascii="Baskerville Old Face" w:hAnsi="Baskerville Old Face" w:cs="Arial"/>
          <w:b/>
          <w:color w:val="000000"/>
        </w:rPr>
      </w:pPr>
      <w:r w:rsidRPr="00C1472F">
        <w:rPr>
          <w:rFonts w:ascii="Baskerville Old Face" w:hAnsi="Baskerville Old Face"/>
          <w:noProof/>
        </w:rPr>
        <w:drawing>
          <wp:anchor distT="0" distB="0" distL="114300" distR="114300" simplePos="0" relativeHeight="251658240" behindDoc="1" locked="0" layoutInCell="1" allowOverlap="1" wp14:anchorId="4A4B4CB7" wp14:editId="7C0E74F1">
            <wp:simplePos x="0" y="0"/>
            <wp:positionH relativeFrom="column">
              <wp:posOffset>38100</wp:posOffset>
            </wp:positionH>
            <wp:positionV relativeFrom="paragraph">
              <wp:posOffset>0</wp:posOffset>
            </wp:positionV>
            <wp:extent cx="5943600" cy="2971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189FC" w14:textId="77777777" w:rsidR="00C13E20" w:rsidRPr="00C1472F" w:rsidRDefault="00C13E20" w:rsidP="00C13E20">
      <w:pPr>
        <w:tabs>
          <w:tab w:val="left" w:pos="1763"/>
        </w:tabs>
        <w:autoSpaceDE w:val="0"/>
        <w:autoSpaceDN w:val="0"/>
        <w:adjustRightInd w:val="0"/>
        <w:spacing w:after="0" w:line="240" w:lineRule="auto"/>
        <w:jc w:val="both"/>
        <w:rPr>
          <w:rFonts w:ascii="Arial" w:hAnsi="Arial" w:cs="Arial"/>
          <w:b/>
          <w:lang w:val="en"/>
        </w:rPr>
      </w:pPr>
      <w:bookmarkStart w:id="0" w:name="_Hlk15986195"/>
      <w:bookmarkEnd w:id="0"/>
    </w:p>
    <w:p w14:paraId="06FD303D" w14:textId="77777777" w:rsidR="00C13E20" w:rsidRPr="00C1472F" w:rsidRDefault="00C13E20" w:rsidP="00C13E20">
      <w:pPr>
        <w:tabs>
          <w:tab w:val="left" w:pos="1763"/>
        </w:tabs>
        <w:autoSpaceDE w:val="0"/>
        <w:autoSpaceDN w:val="0"/>
        <w:adjustRightInd w:val="0"/>
        <w:spacing w:after="0" w:line="240" w:lineRule="auto"/>
        <w:jc w:val="both"/>
        <w:rPr>
          <w:rFonts w:ascii="Arial" w:hAnsi="Arial" w:cs="Arial"/>
          <w:b/>
          <w:lang w:val="en"/>
        </w:rPr>
      </w:pPr>
      <w:r w:rsidRPr="00C1472F">
        <w:rPr>
          <w:rFonts w:ascii="Arial" w:hAnsi="Arial" w:cs="Arial"/>
          <w:b/>
          <w:lang w:val="en"/>
        </w:rPr>
        <w:t>Background</w:t>
      </w:r>
    </w:p>
    <w:p w14:paraId="3A304B62" w14:textId="77777777" w:rsidR="00C13E20" w:rsidRPr="00C1472F" w:rsidRDefault="00C13E20" w:rsidP="00C13E20">
      <w:pPr>
        <w:tabs>
          <w:tab w:val="left" w:pos="1763"/>
        </w:tabs>
        <w:autoSpaceDE w:val="0"/>
        <w:autoSpaceDN w:val="0"/>
        <w:adjustRightInd w:val="0"/>
        <w:spacing w:after="0" w:line="240" w:lineRule="auto"/>
        <w:jc w:val="both"/>
        <w:rPr>
          <w:rFonts w:ascii="Arial" w:hAnsi="Arial" w:cs="Arial"/>
          <w:b/>
          <w:lang w:val="en"/>
        </w:rPr>
      </w:pPr>
    </w:p>
    <w:p w14:paraId="69C8C36B"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bCs/>
        </w:rPr>
      </w:pPr>
      <w:r w:rsidRPr="00C1472F">
        <w:rPr>
          <w:rFonts w:ascii="Arial" w:hAnsi="Arial" w:cs="Arial"/>
          <w:bCs/>
        </w:rPr>
        <w:t xml:space="preserve">Since 2014 COMESA has been organizing Annual Research Forums. The main purpose of the research forum is to bring together the academia, think tanks, government officers and the private sector to discuss emerging topical issues in regional integration. This is made possible through call for papers under a contemporary theme which is informed by the COMESA Council of Ministers decisions, the tripartite free trade area or the continental free trade area negotiations and aspirations as well the global economic and trade dynamics. </w:t>
      </w:r>
    </w:p>
    <w:p w14:paraId="55FDD163" w14:textId="77777777" w:rsidR="00C13E20" w:rsidRPr="00C1472F" w:rsidRDefault="00C13E20" w:rsidP="00C13E20">
      <w:pPr>
        <w:autoSpaceDE w:val="0"/>
        <w:autoSpaceDN w:val="0"/>
        <w:adjustRightInd w:val="0"/>
        <w:spacing w:after="0" w:line="240" w:lineRule="auto"/>
        <w:jc w:val="both"/>
        <w:rPr>
          <w:rFonts w:ascii="Arial" w:hAnsi="Arial" w:cs="Arial"/>
          <w:bCs/>
        </w:rPr>
      </w:pPr>
    </w:p>
    <w:p w14:paraId="0556A3ED" w14:textId="6F61589A"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The research Forums have been successful, after the call for papers and rigorous internal and external reviews, the final papers are published in the COMESA flagship publication “Key Issues in Regional Integration”. To</w:t>
      </w:r>
      <w:r w:rsidR="00C1472F" w:rsidRPr="00C1472F">
        <w:rPr>
          <w:rFonts w:ascii="Arial" w:hAnsi="Arial" w:cs="Arial"/>
        </w:rPr>
        <w:t xml:space="preserve"> </w:t>
      </w:r>
      <w:r w:rsidRPr="00C1472F">
        <w:rPr>
          <w:rFonts w:ascii="Arial" w:hAnsi="Arial" w:cs="Arial"/>
        </w:rPr>
        <w:t>date, six editions have been published</w:t>
      </w:r>
      <w:r w:rsidR="00C1472F" w:rsidRPr="00C1472F">
        <w:rPr>
          <w:rFonts w:ascii="Arial" w:hAnsi="Arial" w:cs="Arial"/>
        </w:rPr>
        <w:t xml:space="preserve"> together with the policy briefs of the research papers of the seventh edition. The </w:t>
      </w:r>
      <w:r w:rsidRPr="00C1472F">
        <w:rPr>
          <w:rFonts w:ascii="Arial" w:hAnsi="Arial" w:cs="Arial"/>
        </w:rPr>
        <w:t>seventh editi</w:t>
      </w:r>
      <w:r w:rsidR="00C1472F" w:rsidRPr="00C1472F">
        <w:rPr>
          <w:rFonts w:ascii="Arial" w:hAnsi="Arial" w:cs="Arial"/>
        </w:rPr>
        <w:t>on will be ready by mid-September</w:t>
      </w:r>
      <w:r w:rsidRPr="00C1472F">
        <w:rPr>
          <w:rFonts w:ascii="Arial" w:hAnsi="Arial" w:cs="Arial"/>
        </w:rPr>
        <w:t>.</w:t>
      </w:r>
    </w:p>
    <w:p w14:paraId="67DB7038" w14:textId="77777777" w:rsidR="00C13E20" w:rsidRPr="00C1472F" w:rsidRDefault="00C13E20" w:rsidP="00C13E20">
      <w:pPr>
        <w:autoSpaceDE w:val="0"/>
        <w:autoSpaceDN w:val="0"/>
        <w:adjustRightInd w:val="0"/>
        <w:spacing w:after="0" w:line="240" w:lineRule="auto"/>
        <w:jc w:val="both"/>
        <w:rPr>
          <w:rFonts w:ascii="Arial" w:hAnsi="Arial" w:cs="Arial"/>
        </w:rPr>
      </w:pPr>
    </w:p>
    <w:p w14:paraId="686D0C3A"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The policy implications from the papers are presented to COMESA policy organs and form the basis for policy decision making. Member States have appreciated the critical role of the trade policy research and analysis and most of them have implemented the policy recommendations from various papers from past research forums. There is therefore ready demand for the research forums’ output.</w:t>
      </w:r>
    </w:p>
    <w:p w14:paraId="3A7AFEE3" w14:textId="77777777" w:rsidR="00C13E20" w:rsidRPr="00C1472F" w:rsidRDefault="00C13E20" w:rsidP="00C13E20">
      <w:pPr>
        <w:autoSpaceDE w:val="0"/>
        <w:autoSpaceDN w:val="0"/>
        <w:adjustRightInd w:val="0"/>
        <w:spacing w:after="0" w:line="240" w:lineRule="auto"/>
        <w:jc w:val="both"/>
        <w:rPr>
          <w:rFonts w:ascii="Arial" w:hAnsi="Arial" w:cs="Arial"/>
        </w:rPr>
      </w:pPr>
    </w:p>
    <w:p w14:paraId="1B9120EF" w14:textId="1BD84360" w:rsidR="00C13E20" w:rsidRPr="00C1472F" w:rsidRDefault="00C13E20" w:rsidP="00C13E20">
      <w:pPr>
        <w:autoSpaceDE w:val="0"/>
        <w:autoSpaceDN w:val="0"/>
        <w:adjustRightInd w:val="0"/>
        <w:spacing w:after="0" w:line="240" w:lineRule="auto"/>
        <w:jc w:val="both"/>
        <w:rPr>
          <w:rFonts w:ascii="Arial" w:hAnsi="Arial" w:cs="Arial"/>
          <w:b/>
        </w:rPr>
      </w:pPr>
      <w:r w:rsidRPr="00C1472F">
        <w:rPr>
          <w:rFonts w:ascii="Arial" w:hAnsi="Arial" w:cs="Arial"/>
          <w:b/>
        </w:rPr>
        <w:t>Sixth COMESA Annual Research Forum</w:t>
      </w:r>
    </w:p>
    <w:p w14:paraId="529D870D" w14:textId="77777777" w:rsidR="00C1472F" w:rsidRPr="00C1472F" w:rsidRDefault="00C1472F" w:rsidP="00C13E20">
      <w:pPr>
        <w:autoSpaceDE w:val="0"/>
        <w:autoSpaceDN w:val="0"/>
        <w:adjustRightInd w:val="0"/>
        <w:spacing w:after="0" w:line="240" w:lineRule="auto"/>
        <w:jc w:val="both"/>
        <w:rPr>
          <w:rFonts w:ascii="Arial" w:hAnsi="Arial" w:cs="Arial"/>
          <w:b/>
        </w:rPr>
      </w:pPr>
    </w:p>
    <w:p w14:paraId="65CEDBFA" w14:textId="77777777" w:rsidR="00C1472F"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bookmarkStart w:id="1" w:name="_Hlk500324428"/>
      <w:r w:rsidRPr="00C1472F">
        <w:rPr>
          <w:rFonts w:ascii="Arial" w:eastAsiaTheme="minorEastAsia" w:hAnsi="Arial" w:cs="Arial"/>
          <w:bCs/>
          <w:color w:val="000000"/>
        </w:rPr>
        <w:t>This year COMESA is organizing the Sixth Annual Research Forum on 02-06 August 2019 in Nairobi, Kenya. The theme for this year’s Annual Research Forum is</w:t>
      </w:r>
      <w:r w:rsidRPr="00C1472F">
        <w:rPr>
          <w:rFonts w:ascii="Arial" w:eastAsiaTheme="minorEastAsia" w:hAnsi="Arial" w:cs="Arial"/>
          <w:color w:val="000000"/>
        </w:rPr>
        <w:t xml:space="preserve"> </w:t>
      </w:r>
      <w:bookmarkStart w:id="2" w:name="_Hlk514669350"/>
      <w:r w:rsidRPr="00C1472F">
        <w:rPr>
          <w:rFonts w:ascii="Arial" w:eastAsiaTheme="minorEastAsia" w:hAnsi="Arial" w:cs="Arial"/>
          <w:color w:val="000000"/>
        </w:rPr>
        <w:t>“</w:t>
      </w:r>
      <w:bookmarkEnd w:id="1"/>
      <w:r w:rsidRPr="00C1472F">
        <w:rPr>
          <w:rFonts w:ascii="Arial" w:hAnsi="Arial" w:cs="Arial"/>
          <w:i/>
        </w:rPr>
        <w:t>Promoting Intra-COMESA Trade through Innovation”.</w:t>
      </w:r>
      <w:bookmarkEnd w:id="2"/>
      <w:r w:rsidR="00C1472F" w:rsidRPr="00C1472F">
        <w:rPr>
          <w:rFonts w:ascii="Arial" w:hAnsi="Arial" w:cs="Arial"/>
          <w:i/>
        </w:rPr>
        <w:t xml:space="preserve"> </w:t>
      </w:r>
      <w:r w:rsidRPr="00C1472F">
        <w:rPr>
          <w:rFonts w:ascii="Arial" w:eastAsiaTheme="minorEastAsia" w:hAnsi="Arial" w:cs="Arial"/>
          <w:color w:val="000000"/>
        </w:rPr>
        <w:t xml:space="preserve">The theme has five sub-themes namely: </w:t>
      </w:r>
    </w:p>
    <w:p w14:paraId="01351EC2" w14:textId="77777777" w:rsidR="00C1472F" w:rsidRPr="00C1472F" w:rsidRDefault="00C1472F" w:rsidP="00C1472F">
      <w:pPr>
        <w:autoSpaceDE w:val="0"/>
        <w:autoSpaceDN w:val="0"/>
        <w:adjustRightInd w:val="0"/>
        <w:spacing w:after="0" w:line="240" w:lineRule="auto"/>
        <w:jc w:val="both"/>
        <w:rPr>
          <w:rFonts w:ascii="Arial" w:eastAsiaTheme="minorEastAsia" w:hAnsi="Arial" w:cs="Arial"/>
          <w:color w:val="000000"/>
        </w:rPr>
      </w:pPr>
    </w:p>
    <w:p w14:paraId="2817F092" w14:textId="77777777" w:rsidR="00C1472F" w:rsidRPr="004E5720" w:rsidRDefault="00C13E20" w:rsidP="004E5720">
      <w:pPr>
        <w:numPr>
          <w:ilvl w:val="0"/>
          <w:numId w:val="32"/>
        </w:numPr>
        <w:autoSpaceDE w:val="0"/>
        <w:autoSpaceDN w:val="0"/>
        <w:adjustRightInd w:val="0"/>
        <w:spacing w:after="0" w:line="240" w:lineRule="auto"/>
        <w:ind w:firstLine="360"/>
        <w:jc w:val="both"/>
        <w:rPr>
          <w:rFonts w:ascii="Arial" w:hAnsi="Arial" w:cs="Arial"/>
        </w:rPr>
      </w:pPr>
      <w:r w:rsidRPr="004E5720">
        <w:rPr>
          <w:rFonts w:ascii="Arial" w:hAnsi="Arial" w:cs="Arial"/>
        </w:rPr>
        <w:t xml:space="preserve">Technology diffusion, absorption and Trade in COMESA; </w:t>
      </w:r>
    </w:p>
    <w:p w14:paraId="554F6C50" w14:textId="77777777" w:rsidR="00C1472F" w:rsidRPr="004E5720" w:rsidRDefault="00C13E20" w:rsidP="004E5720">
      <w:pPr>
        <w:numPr>
          <w:ilvl w:val="0"/>
          <w:numId w:val="32"/>
        </w:numPr>
        <w:autoSpaceDE w:val="0"/>
        <w:autoSpaceDN w:val="0"/>
        <w:adjustRightInd w:val="0"/>
        <w:spacing w:after="0" w:line="240" w:lineRule="auto"/>
        <w:ind w:firstLine="360"/>
        <w:jc w:val="both"/>
        <w:rPr>
          <w:rFonts w:ascii="Arial" w:hAnsi="Arial" w:cs="Arial"/>
        </w:rPr>
      </w:pPr>
      <w:r w:rsidRPr="004E5720">
        <w:rPr>
          <w:rFonts w:ascii="Arial" w:hAnsi="Arial" w:cs="Arial"/>
        </w:rPr>
        <w:t xml:space="preserve">Innovation Productivity and its Connection to the Innovation Market in COMESA; </w:t>
      </w:r>
    </w:p>
    <w:p w14:paraId="59526893" w14:textId="5CF851C9" w:rsidR="00C1472F" w:rsidRPr="004E5720" w:rsidRDefault="00C13E20" w:rsidP="004E5720">
      <w:pPr>
        <w:numPr>
          <w:ilvl w:val="0"/>
          <w:numId w:val="32"/>
        </w:numPr>
        <w:autoSpaceDE w:val="0"/>
        <w:autoSpaceDN w:val="0"/>
        <w:adjustRightInd w:val="0"/>
        <w:spacing w:after="0" w:line="240" w:lineRule="auto"/>
        <w:ind w:firstLine="360"/>
        <w:jc w:val="both"/>
        <w:rPr>
          <w:rFonts w:ascii="Arial" w:hAnsi="Arial" w:cs="Arial"/>
        </w:rPr>
      </w:pPr>
      <w:r w:rsidRPr="004E5720">
        <w:rPr>
          <w:rFonts w:ascii="Arial" w:hAnsi="Arial" w:cs="Arial"/>
        </w:rPr>
        <w:t>Role of Intellectual Property Rights in Promoting Investment in Innovation and Trade in</w:t>
      </w:r>
      <w:r w:rsidR="004E5720">
        <w:rPr>
          <w:rFonts w:ascii="Arial" w:hAnsi="Arial" w:cs="Arial"/>
        </w:rPr>
        <w:t xml:space="preserve"> </w:t>
      </w:r>
      <w:r w:rsidR="004E5720">
        <w:rPr>
          <w:rFonts w:ascii="Arial" w:hAnsi="Arial" w:cs="Arial"/>
        </w:rPr>
        <w:tab/>
      </w:r>
      <w:r w:rsidR="004E5720">
        <w:rPr>
          <w:rFonts w:ascii="Arial" w:hAnsi="Arial" w:cs="Arial"/>
        </w:rPr>
        <w:tab/>
      </w:r>
      <w:r w:rsidRPr="004E5720">
        <w:rPr>
          <w:rFonts w:ascii="Arial" w:hAnsi="Arial" w:cs="Arial"/>
        </w:rPr>
        <w:t xml:space="preserve">COMESA; </w:t>
      </w:r>
    </w:p>
    <w:p w14:paraId="03B99D81" w14:textId="77777777" w:rsidR="004E5720" w:rsidRDefault="00C13E20" w:rsidP="004E5720">
      <w:pPr>
        <w:numPr>
          <w:ilvl w:val="0"/>
          <w:numId w:val="32"/>
        </w:numPr>
        <w:autoSpaceDE w:val="0"/>
        <w:autoSpaceDN w:val="0"/>
        <w:adjustRightInd w:val="0"/>
        <w:spacing w:after="0" w:line="240" w:lineRule="auto"/>
        <w:ind w:firstLine="360"/>
        <w:jc w:val="both"/>
        <w:rPr>
          <w:rFonts w:ascii="Arial" w:hAnsi="Arial" w:cs="Arial"/>
        </w:rPr>
      </w:pPr>
      <w:r w:rsidRPr="004E5720">
        <w:rPr>
          <w:rFonts w:ascii="Arial" w:hAnsi="Arial" w:cs="Arial"/>
        </w:rPr>
        <w:t xml:space="preserve">Role of governance in enhancing innovations and trade in COMESA; and </w:t>
      </w:r>
    </w:p>
    <w:p w14:paraId="5C690709" w14:textId="02409C52" w:rsidR="00C13E20" w:rsidRPr="004E5720" w:rsidRDefault="00C13E20" w:rsidP="004E5720">
      <w:pPr>
        <w:numPr>
          <w:ilvl w:val="0"/>
          <w:numId w:val="32"/>
        </w:numPr>
        <w:autoSpaceDE w:val="0"/>
        <w:autoSpaceDN w:val="0"/>
        <w:adjustRightInd w:val="0"/>
        <w:spacing w:after="0" w:line="240" w:lineRule="auto"/>
        <w:ind w:firstLine="360"/>
        <w:jc w:val="both"/>
        <w:rPr>
          <w:rFonts w:ascii="Arial" w:hAnsi="Arial" w:cs="Arial"/>
        </w:rPr>
      </w:pPr>
      <w:r w:rsidRPr="004E5720">
        <w:rPr>
          <w:rFonts w:ascii="Arial" w:hAnsi="Arial" w:cs="Arial"/>
        </w:rPr>
        <w:t>Innovation and Socio-economic Transformation through Trade in COMESA.</w:t>
      </w:r>
    </w:p>
    <w:p w14:paraId="443FC800"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lastRenderedPageBreak/>
        <w:t xml:space="preserve">There is a close link between innovation and trade. Dynamic gains from trade arise from increased competition and the transfer of technology, knowledge, and innovation that trade engenders. In effect, there is a "two-way" link between trade and innovation. On the one hand, innovation creates technological advantage, which (together with differences in factor endowments) is a source of comparative advantage, which in turn drives trade. Therefore, technology gaps have been identified as a key determinant of trade and investment between nations. </w:t>
      </w:r>
    </w:p>
    <w:p w14:paraId="5DE878C5" w14:textId="77777777" w:rsidR="00C13E20" w:rsidRPr="00C1472F" w:rsidRDefault="00C13E20" w:rsidP="00C13E20">
      <w:pPr>
        <w:spacing w:after="0" w:line="240" w:lineRule="auto"/>
        <w:contextualSpacing/>
        <w:jc w:val="both"/>
        <w:rPr>
          <w:rFonts w:ascii="Arial" w:hAnsi="Arial" w:cs="Arial"/>
        </w:rPr>
      </w:pPr>
    </w:p>
    <w:p w14:paraId="3A6E166D" w14:textId="7DDA63E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On the other hand, trade and investment also spur innovation through the effects of competition, technology transfer, and spill</w:t>
      </w:r>
      <w:r w:rsidR="004E5720">
        <w:rPr>
          <w:rFonts w:ascii="Arial" w:hAnsi="Arial" w:cs="Arial"/>
        </w:rPr>
        <w:t xml:space="preserve"> </w:t>
      </w:r>
      <w:r w:rsidRPr="00C1472F">
        <w:rPr>
          <w:rFonts w:ascii="Arial" w:hAnsi="Arial" w:cs="Arial"/>
        </w:rPr>
        <w:t xml:space="preserve">over (including learning from exporting and learning by investing). Trade that exposes domestic firms to international markets and forces them to compete against sophisticated global competitors is a strong driver of innovation and productivity growth. In fact, data from the </w:t>
      </w:r>
      <w:hyperlink r:id="rId12" w:tgtFrame="_blank" w:history="1">
        <w:r w:rsidRPr="00C1472F">
          <w:rPr>
            <w:rFonts w:ascii="Arial" w:hAnsi="Arial" w:cs="Arial"/>
          </w:rPr>
          <w:t>OECD Innovation Microdata Project</w:t>
        </w:r>
      </w:hyperlink>
      <w:r w:rsidRPr="00C1472F">
        <w:rPr>
          <w:rFonts w:ascii="Arial" w:hAnsi="Arial" w:cs="Arial"/>
        </w:rPr>
        <w:t xml:space="preserve"> show that exposure to international markets has a strong positive effect either on firms' incentives or their ability to innovate. </w:t>
      </w:r>
    </w:p>
    <w:p w14:paraId="2C5F2CEA" w14:textId="77777777" w:rsidR="00C13E20" w:rsidRPr="00C1472F" w:rsidRDefault="00C13E20" w:rsidP="00C13E20">
      <w:pPr>
        <w:spacing w:after="0" w:line="240" w:lineRule="auto"/>
        <w:contextualSpacing/>
        <w:jc w:val="both"/>
        <w:rPr>
          <w:rFonts w:ascii="Arial" w:hAnsi="Arial" w:cs="Arial"/>
        </w:rPr>
      </w:pPr>
    </w:p>
    <w:p w14:paraId="5A4AD443"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 xml:space="preserve">The solid drive for local innovation in Africa has attracted several global firms and tech hubs. These tech hubs could be anything from incubators, co-working spaces, makerspaces, accelerators to mention but a few. Based on the 2016 research carried out by </w:t>
      </w:r>
      <w:hyperlink r:id="rId13" w:tgtFrame="_blank" w:history="1">
        <w:r w:rsidRPr="00C1472F">
          <w:rPr>
            <w:rFonts w:ascii="Arial" w:hAnsi="Arial" w:cs="Arial"/>
          </w:rPr>
          <w:t>GSMA Ecosystem Accelerator</w:t>
        </w:r>
      </w:hyperlink>
      <w:r w:rsidRPr="00C1472F">
        <w:rPr>
          <w:rFonts w:ascii="Arial" w:hAnsi="Arial" w:cs="Arial"/>
        </w:rPr>
        <w:t xml:space="preserve"> on the rise of tech hubs in Africa, Africa realized up to 314 active tech hubs as compared to the 120 tech hubs listed in the World Bank Report in September 2015. These tech hubs provide space and a platform for the locals to exercise their creativity and develop various solutions.</w:t>
      </w:r>
    </w:p>
    <w:p w14:paraId="03BE0495" w14:textId="77777777" w:rsidR="00C13E20" w:rsidRPr="00C1472F" w:rsidRDefault="00C13E20" w:rsidP="00C13E20">
      <w:pPr>
        <w:pStyle w:val="NormalWeb"/>
        <w:spacing w:before="0" w:beforeAutospacing="0" w:after="0" w:afterAutospacing="0"/>
        <w:jc w:val="both"/>
        <w:rPr>
          <w:rFonts w:ascii="Arial" w:hAnsi="Arial" w:cs="Arial"/>
          <w:sz w:val="22"/>
          <w:szCs w:val="22"/>
        </w:rPr>
      </w:pPr>
    </w:p>
    <w:p w14:paraId="2BC26D5F"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Making up a third of Africa, the vastness of COMESA should be complemented with its dynamism and high trade growth. Intra-COMESA export of goods has risen from $1.5 Billion in 2000 to about $8 Billion in 2017, excluding small scale (informal) trade estimated by UNCTAD and ECA at about 40% of total trade. These figures are still not impressive in absolute terms, but the growth is remarkable. What is even more remarkable is the potential as well as the possibility of introducing wholly new products and industries through innovation.</w:t>
      </w:r>
    </w:p>
    <w:p w14:paraId="5CEA938D" w14:textId="77777777" w:rsidR="00C13E20" w:rsidRPr="00C1472F" w:rsidRDefault="00C13E20" w:rsidP="00C13E20">
      <w:pPr>
        <w:spacing w:after="0" w:line="240" w:lineRule="auto"/>
        <w:contextualSpacing/>
        <w:jc w:val="both"/>
        <w:rPr>
          <w:rFonts w:ascii="Arial" w:hAnsi="Arial" w:cs="Arial"/>
        </w:rPr>
      </w:pPr>
    </w:p>
    <w:p w14:paraId="2E2B7159" w14:textId="55ACDF70" w:rsidR="00C13E20"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 xml:space="preserve">The growth in intra-COMESA trade remains low compared to the region’s trade with the rest of the world both in terms of exports and imports.  The intra-COMESA exports only account for 6.4 percent of region’s total exports compared to about 20 percent for East African Community (EAC) and 62 percent for the EU (UNCTADSTAT, 2015). </w:t>
      </w:r>
    </w:p>
    <w:p w14:paraId="6404B6FC" w14:textId="77777777" w:rsidR="00C1472F" w:rsidRPr="00C1472F" w:rsidRDefault="00C1472F" w:rsidP="00C1472F">
      <w:pPr>
        <w:autoSpaceDE w:val="0"/>
        <w:autoSpaceDN w:val="0"/>
        <w:adjustRightInd w:val="0"/>
        <w:spacing w:after="0" w:line="240" w:lineRule="auto"/>
        <w:jc w:val="both"/>
        <w:rPr>
          <w:rFonts w:ascii="Arial" w:hAnsi="Arial" w:cs="Arial"/>
        </w:rPr>
      </w:pPr>
    </w:p>
    <w:p w14:paraId="7756BD21" w14:textId="4FCAC66B" w:rsidR="00C13E20"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 xml:space="preserve">This year’s submission of extended abstracts closed on 15 March 2019 and we received 33 extended abstracts/full papers. This were reviewed and 19 selected to submit full papers by 30 May 2019. The list of all the submitted papers is attached as an annex. </w:t>
      </w:r>
    </w:p>
    <w:p w14:paraId="312ACD90" w14:textId="77777777" w:rsidR="00C1472F" w:rsidRPr="00C1472F" w:rsidRDefault="00C1472F" w:rsidP="00C1472F">
      <w:pPr>
        <w:autoSpaceDE w:val="0"/>
        <w:autoSpaceDN w:val="0"/>
        <w:adjustRightInd w:val="0"/>
        <w:spacing w:after="0" w:line="240" w:lineRule="auto"/>
        <w:jc w:val="both"/>
        <w:rPr>
          <w:rFonts w:ascii="Arial" w:hAnsi="Arial" w:cs="Arial"/>
        </w:rPr>
      </w:pPr>
    </w:p>
    <w:p w14:paraId="585F6D09"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On the side-lines of the research forum there will be exhibitions of innovations and the innovators will present their innovations for one day plenary sessions. The Research Forum brings together Government Officers, Policy Think Tanks, Academia, Development Partners and the Private Sector.</w:t>
      </w:r>
    </w:p>
    <w:p w14:paraId="1FA5D4D5" w14:textId="77777777" w:rsidR="004E5720" w:rsidRDefault="004E5720" w:rsidP="00C13E20">
      <w:pPr>
        <w:rPr>
          <w:rFonts w:ascii="Arial" w:hAnsi="Arial" w:cs="Arial"/>
          <w:b/>
          <w:bCs/>
        </w:rPr>
      </w:pPr>
    </w:p>
    <w:p w14:paraId="3495BB51" w14:textId="3D667BBD" w:rsidR="00C13E20" w:rsidRPr="00C1472F" w:rsidRDefault="00C13E20" w:rsidP="00C13E20">
      <w:pPr>
        <w:rPr>
          <w:rFonts w:ascii="Arial" w:hAnsi="Arial" w:cs="Arial"/>
          <w:b/>
          <w:bCs/>
        </w:rPr>
      </w:pPr>
      <w:r w:rsidRPr="00C1472F">
        <w:rPr>
          <w:rFonts w:ascii="Arial" w:hAnsi="Arial" w:cs="Arial"/>
          <w:b/>
          <w:bCs/>
        </w:rPr>
        <w:t>Show-casing of innovative, incubated and commercialized ideas</w:t>
      </w:r>
    </w:p>
    <w:p w14:paraId="6F3FF507" w14:textId="77777777" w:rsidR="00C13E20" w:rsidRPr="00C1472F"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Innovators from COMESA Member States will show case their innovation on the margins of the research forum. The focus will be on new products, new methods of production and new ways of improving technology. Also included in the criteria is methodology of opening new markets, new ways of doing business, conquest of new sources of supply of raw materials and implementation of a new form of commercialization among others. Although the innovation concepts are open to all innovators, the main target groups are SMEs, youth and women.</w:t>
      </w:r>
    </w:p>
    <w:p w14:paraId="03A80F3F" w14:textId="77777777" w:rsidR="00C13E20" w:rsidRPr="00C1472F" w:rsidRDefault="00C13E20" w:rsidP="00C13E20">
      <w:pPr>
        <w:autoSpaceDE w:val="0"/>
        <w:autoSpaceDN w:val="0"/>
        <w:adjustRightInd w:val="0"/>
        <w:spacing w:after="0" w:line="240" w:lineRule="auto"/>
        <w:jc w:val="both"/>
        <w:rPr>
          <w:rFonts w:ascii="Arial" w:hAnsi="Arial" w:cs="Arial"/>
        </w:rPr>
      </w:pPr>
    </w:p>
    <w:p w14:paraId="615DA78C" w14:textId="532EC050" w:rsidR="00C13E20" w:rsidRDefault="004E5720" w:rsidP="00C13E20">
      <w:pPr>
        <w:numPr>
          <w:ilvl w:val="0"/>
          <w:numId w:val="29"/>
        </w:numPr>
        <w:autoSpaceDE w:val="0"/>
        <w:autoSpaceDN w:val="0"/>
        <w:adjustRightInd w:val="0"/>
        <w:spacing w:after="0" w:line="240" w:lineRule="auto"/>
        <w:ind w:left="0" w:firstLine="0"/>
        <w:jc w:val="both"/>
        <w:rPr>
          <w:rFonts w:ascii="Arial" w:hAnsi="Arial" w:cs="Arial"/>
        </w:rPr>
      </w:pPr>
      <w:r>
        <w:rPr>
          <w:rFonts w:ascii="Arial" w:hAnsi="Arial" w:cs="Arial"/>
        </w:rPr>
        <w:lastRenderedPageBreak/>
        <w:t>COMESA</w:t>
      </w:r>
      <w:r w:rsidR="00C13E20" w:rsidRPr="00C1472F">
        <w:rPr>
          <w:rFonts w:ascii="Arial" w:hAnsi="Arial" w:cs="Arial"/>
        </w:rPr>
        <w:t xml:space="preserve"> advertised for call of innovations</w:t>
      </w:r>
      <w:r>
        <w:rPr>
          <w:rFonts w:ascii="Arial" w:hAnsi="Arial" w:cs="Arial"/>
        </w:rPr>
        <w:t xml:space="preserve">, </w:t>
      </w:r>
      <w:r w:rsidR="00C13E20" w:rsidRPr="00C1472F">
        <w:rPr>
          <w:rFonts w:ascii="Arial" w:hAnsi="Arial" w:cs="Arial"/>
        </w:rPr>
        <w:t xml:space="preserve">four </w:t>
      </w:r>
      <w:r>
        <w:rPr>
          <w:rFonts w:ascii="Arial" w:hAnsi="Arial" w:cs="Arial"/>
        </w:rPr>
        <w:t xml:space="preserve">of </w:t>
      </w:r>
      <w:r w:rsidR="00C13E20" w:rsidRPr="00C1472F">
        <w:rPr>
          <w:rFonts w:ascii="Arial" w:hAnsi="Arial" w:cs="Arial"/>
        </w:rPr>
        <w:t>which are summarized as follows:</w:t>
      </w:r>
    </w:p>
    <w:p w14:paraId="52F5190C" w14:textId="77777777" w:rsidR="00C1472F" w:rsidRPr="00C1472F" w:rsidRDefault="00C1472F" w:rsidP="00C1472F">
      <w:pPr>
        <w:autoSpaceDE w:val="0"/>
        <w:autoSpaceDN w:val="0"/>
        <w:adjustRightInd w:val="0"/>
        <w:spacing w:after="0" w:line="240" w:lineRule="auto"/>
        <w:jc w:val="both"/>
        <w:rPr>
          <w:rFonts w:ascii="Arial" w:hAnsi="Arial" w:cs="Arial"/>
        </w:rPr>
      </w:pPr>
    </w:p>
    <w:p w14:paraId="2BDC6647" w14:textId="68C6EDE7" w:rsidR="00C13E20" w:rsidRDefault="00C13E20" w:rsidP="00C13E20">
      <w:pPr>
        <w:pStyle w:val="ListParagraph"/>
        <w:numPr>
          <w:ilvl w:val="0"/>
          <w:numId w:val="30"/>
        </w:numPr>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r w:rsidRPr="00C1472F">
        <w:rPr>
          <w:rFonts w:ascii="Arial" w:hAnsi="Arial" w:cs="Arial"/>
          <w:b/>
          <w:sz w:val="22"/>
          <w:szCs w:val="22"/>
        </w:rPr>
        <w:t>BRIISP POWER SYSTEM(BPS)</w:t>
      </w:r>
    </w:p>
    <w:p w14:paraId="32A1A48A" w14:textId="77777777" w:rsidR="00C1472F" w:rsidRPr="00C1472F" w:rsidRDefault="00C1472F" w:rsidP="00854586">
      <w:pPr>
        <w:pStyle w:val="ListParagraph"/>
        <w:pBdr>
          <w:top w:val="none" w:sz="0" w:space="0" w:color="auto"/>
          <w:left w:val="none" w:sz="0" w:space="0" w:color="auto"/>
          <w:bottom w:val="none" w:sz="0" w:space="0" w:color="auto"/>
          <w:right w:val="none" w:sz="0" w:space="0" w:color="auto"/>
          <w:bar w:val="none" w:sz="0" w:color="auto"/>
        </w:pBdr>
        <w:ind w:left="1440" w:right="1440"/>
        <w:contextualSpacing/>
        <w:jc w:val="both"/>
        <w:rPr>
          <w:rFonts w:ascii="Arial" w:hAnsi="Arial" w:cs="Arial"/>
          <w:b/>
          <w:sz w:val="22"/>
          <w:szCs w:val="22"/>
        </w:rPr>
      </w:pPr>
    </w:p>
    <w:p w14:paraId="414C8437" w14:textId="77777777" w:rsidR="00C13E20" w:rsidRPr="00C1472F" w:rsidRDefault="00C13E20" w:rsidP="00C13E20">
      <w:pPr>
        <w:spacing w:after="0" w:line="240" w:lineRule="auto"/>
        <w:jc w:val="both"/>
        <w:rPr>
          <w:rFonts w:ascii="Arial" w:hAnsi="Arial" w:cs="Arial"/>
        </w:rPr>
      </w:pPr>
      <w:r w:rsidRPr="00C1472F">
        <w:rPr>
          <w:rFonts w:ascii="Arial" w:hAnsi="Arial" w:cs="Arial"/>
        </w:rPr>
        <w:t>The general objective of this project is to increase power access and reduce inconsistence of power supply to meet the demand of local and eventually global market, youth empowerment and massive job creation in the process, which will also contribute positively to the economic growth and poverty eradication in Zambia.</w:t>
      </w:r>
    </w:p>
    <w:p w14:paraId="2F790454" w14:textId="77777777" w:rsidR="00C13E20" w:rsidRPr="00C1472F" w:rsidRDefault="00C13E20" w:rsidP="00C13E20">
      <w:pPr>
        <w:spacing w:after="0" w:line="240" w:lineRule="auto"/>
        <w:jc w:val="both"/>
        <w:rPr>
          <w:rFonts w:ascii="Arial" w:hAnsi="Arial" w:cs="Arial"/>
        </w:rPr>
      </w:pPr>
    </w:p>
    <w:p w14:paraId="50A7D5E5" w14:textId="77777777" w:rsidR="00C13E20" w:rsidRPr="00C1472F" w:rsidRDefault="00C13E20" w:rsidP="00C13E20">
      <w:pPr>
        <w:spacing w:after="0" w:line="240" w:lineRule="auto"/>
        <w:jc w:val="both"/>
        <w:rPr>
          <w:rFonts w:ascii="Arial" w:hAnsi="Arial" w:cs="Arial"/>
        </w:rPr>
      </w:pPr>
      <w:r w:rsidRPr="00C1472F">
        <w:rPr>
          <w:rFonts w:ascii="Arial" w:hAnsi="Arial" w:cs="Arial"/>
        </w:rPr>
        <w:t>The specific objective is to empower youths through job creation and their active involvement in this power generation revolution. To implement innovative, practical and attainable strategies in power generation, consumption, and exports and underlying economic factors.</w:t>
      </w:r>
    </w:p>
    <w:p w14:paraId="51C581B1" w14:textId="77777777" w:rsidR="00C13E20" w:rsidRPr="00C1472F" w:rsidRDefault="00C13E20" w:rsidP="00C13E20">
      <w:pPr>
        <w:spacing w:after="0" w:line="240" w:lineRule="auto"/>
        <w:jc w:val="both"/>
        <w:rPr>
          <w:rFonts w:ascii="Arial" w:hAnsi="Arial" w:cs="Arial"/>
        </w:rPr>
      </w:pPr>
    </w:p>
    <w:p w14:paraId="210D326D" w14:textId="04454B5F" w:rsidR="00C13E20" w:rsidRDefault="00C13E20" w:rsidP="00C13E20">
      <w:pPr>
        <w:pStyle w:val="ListParagraph"/>
        <w:numPr>
          <w:ilvl w:val="0"/>
          <w:numId w:val="30"/>
        </w:numPr>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r w:rsidRPr="00C1472F">
        <w:rPr>
          <w:rFonts w:ascii="Arial" w:hAnsi="Arial" w:cs="Arial"/>
          <w:b/>
          <w:sz w:val="22"/>
          <w:szCs w:val="22"/>
        </w:rPr>
        <w:t>Innovative Africa 360</w:t>
      </w:r>
    </w:p>
    <w:p w14:paraId="71691E93" w14:textId="77777777" w:rsidR="00C1472F" w:rsidRPr="00C1472F" w:rsidRDefault="00C1472F" w:rsidP="00C1472F">
      <w:pPr>
        <w:pStyle w:val="ListParagraph"/>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bookmarkStart w:id="3" w:name="_GoBack"/>
      <w:bookmarkEnd w:id="3"/>
    </w:p>
    <w:p w14:paraId="1254523F" w14:textId="77777777" w:rsidR="00C13E20" w:rsidRPr="00C1472F" w:rsidRDefault="00C13E20" w:rsidP="00C13E20">
      <w:pPr>
        <w:spacing w:after="0" w:line="240" w:lineRule="auto"/>
        <w:jc w:val="both"/>
        <w:rPr>
          <w:rFonts w:ascii="Arial" w:hAnsi="Arial" w:cs="Arial"/>
        </w:rPr>
      </w:pPr>
      <w:r w:rsidRPr="00C1472F">
        <w:rPr>
          <w:rFonts w:ascii="Arial" w:hAnsi="Arial" w:cs="Arial"/>
        </w:rPr>
        <w:t xml:space="preserve">This innovation is all about variance innovations that are made from simple raw materials aimed at Detecting, Preventing and Curing cholera at both Rural and Urban Levels. The innovation </w:t>
      </w:r>
      <w:proofErr w:type="gramStart"/>
      <w:r w:rsidRPr="00C1472F">
        <w:rPr>
          <w:rFonts w:ascii="Arial" w:hAnsi="Arial" w:cs="Arial"/>
        </w:rPr>
        <w:t>is able to</w:t>
      </w:r>
      <w:proofErr w:type="gramEnd"/>
      <w:r w:rsidRPr="00C1472F">
        <w:rPr>
          <w:rFonts w:ascii="Arial" w:hAnsi="Arial" w:cs="Arial"/>
        </w:rPr>
        <w:t xml:space="preserve"> Detect the cholera bacteria in a given sample through a colour change, it enables one to know if the food/ water he/ she wants to eat/ drink is safe. The innovation </w:t>
      </w:r>
      <w:proofErr w:type="gramStart"/>
      <w:r w:rsidRPr="00C1472F">
        <w:rPr>
          <w:rFonts w:ascii="Arial" w:hAnsi="Arial" w:cs="Arial"/>
        </w:rPr>
        <w:t>has the ability to</w:t>
      </w:r>
      <w:proofErr w:type="gramEnd"/>
      <w:r w:rsidRPr="00C1472F">
        <w:rPr>
          <w:rFonts w:ascii="Arial" w:hAnsi="Arial" w:cs="Arial"/>
        </w:rPr>
        <w:t xml:space="preserve"> prevent cholera or prevent it from spreading after it has been detected. The cholera preventer will help many people and prevent them from being infected by the cholera bacteria. The innovation is also able to cure cholera on an infected person. The medicine has an ANTI – MICROBIAL property that enables it to kill the cholera bacteria and hence cure cholera. The innovation is also able to prevent cholera through a vaccine that is made from simple, organic, natural raw materials. All these medicine innovations have been proven to detect, prevent and cure cholera through variance Scientific Tests and Examinations at Hospital Laboratories. This innovation will help our country Zambia and other African Countries to get rid of cholera for good. </w:t>
      </w:r>
    </w:p>
    <w:p w14:paraId="47E3FBC6" w14:textId="77777777" w:rsidR="00C13E20" w:rsidRPr="00C1472F" w:rsidRDefault="00C13E20" w:rsidP="00C13E20">
      <w:pPr>
        <w:spacing w:after="0" w:line="240" w:lineRule="auto"/>
        <w:jc w:val="both"/>
        <w:rPr>
          <w:rFonts w:ascii="Arial" w:hAnsi="Arial" w:cs="Arial"/>
        </w:rPr>
      </w:pPr>
    </w:p>
    <w:p w14:paraId="103EC050" w14:textId="014F4856" w:rsidR="00C13E20" w:rsidRDefault="00C13E20" w:rsidP="00C13E20">
      <w:pPr>
        <w:pStyle w:val="ListParagraph"/>
        <w:numPr>
          <w:ilvl w:val="0"/>
          <w:numId w:val="30"/>
        </w:numPr>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r w:rsidRPr="00C1472F">
        <w:rPr>
          <w:rFonts w:ascii="Arial" w:hAnsi="Arial" w:cs="Arial"/>
          <w:b/>
          <w:sz w:val="22"/>
          <w:szCs w:val="22"/>
        </w:rPr>
        <w:t>M-Flock</w:t>
      </w:r>
    </w:p>
    <w:p w14:paraId="5996ABAF" w14:textId="77777777" w:rsidR="00C1472F" w:rsidRPr="00C1472F" w:rsidRDefault="00C1472F" w:rsidP="00C1472F">
      <w:pPr>
        <w:pStyle w:val="ListParagraph"/>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p>
    <w:p w14:paraId="52646752" w14:textId="77777777" w:rsidR="00C13E20" w:rsidRPr="00C1472F" w:rsidRDefault="00C13E20" w:rsidP="00C13E20">
      <w:pPr>
        <w:spacing w:after="0" w:line="240" w:lineRule="auto"/>
        <w:jc w:val="both"/>
        <w:rPr>
          <w:rFonts w:ascii="Arial" w:hAnsi="Arial" w:cs="Arial"/>
        </w:rPr>
      </w:pPr>
      <w:r w:rsidRPr="00C1472F">
        <w:rPr>
          <w:rFonts w:ascii="Arial" w:hAnsi="Arial" w:cs="Arial"/>
        </w:rPr>
        <w:t>M-Flock is a USSD and internet-based application that gives farmers access to information, access to essential services such as Veterinary services, financial institutions, Insurance Companies and other Livestock value chain players. It is a comprehensive solution for Livestock farmers designed not only to support them with livestock production but also to connect farmers to the vital players in their agricultural ecosystem.</w:t>
      </w:r>
    </w:p>
    <w:p w14:paraId="70DC9FB6" w14:textId="77777777" w:rsidR="00C13E20" w:rsidRPr="00C1472F" w:rsidRDefault="00C13E20" w:rsidP="00C13E20">
      <w:pPr>
        <w:spacing w:after="0" w:line="240" w:lineRule="auto"/>
        <w:jc w:val="both"/>
        <w:rPr>
          <w:rFonts w:ascii="Arial" w:hAnsi="Arial" w:cs="Arial"/>
        </w:rPr>
      </w:pPr>
    </w:p>
    <w:p w14:paraId="5AE7EAAC" w14:textId="4034C193" w:rsidR="00C13E20" w:rsidRDefault="00C13E20" w:rsidP="00C13E20">
      <w:pPr>
        <w:pStyle w:val="ListParagraph"/>
        <w:numPr>
          <w:ilvl w:val="0"/>
          <w:numId w:val="30"/>
        </w:numPr>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r w:rsidRPr="00C1472F">
        <w:rPr>
          <w:rFonts w:ascii="Arial" w:hAnsi="Arial" w:cs="Arial"/>
          <w:b/>
          <w:sz w:val="22"/>
          <w:szCs w:val="22"/>
        </w:rPr>
        <w:t>GIZA MOTO</w:t>
      </w:r>
    </w:p>
    <w:p w14:paraId="42F30D3A" w14:textId="77777777" w:rsidR="00C1472F" w:rsidRPr="00C1472F" w:rsidRDefault="00C1472F" w:rsidP="00C1472F">
      <w:pPr>
        <w:pStyle w:val="ListParagraph"/>
        <w:pBdr>
          <w:top w:val="none" w:sz="0" w:space="0" w:color="auto"/>
          <w:left w:val="none" w:sz="0" w:space="0" w:color="auto"/>
          <w:bottom w:val="none" w:sz="0" w:space="0" w:color="auto"/>
          <w:right w:val="none" w:sz="0" w:space="0" w:color="auto"/>
          <w:bar w:val="none" w:sz="0" w:color="auto"/>
        </w:pBdr>
        <w:contextualSpacing/>
        <w:jc w:val="both"/>
        <w:rPr>
          <w:rFonts w:ascii="Arial" w:hAnsi="Arial" w:cs="Arial"/>
          <w:b/>
          <w:sz w:val="22"/>
          <w:szCs w:val="22"/>
        </w:rPr>
      </w:pPr>
    </w:p>
    <w:p w14:paraId="0E22B582" w14:textId="77777777" w:rsidR="00C13E20" w:rsidRPr="00C1472F" w:rsidRDefault="00C13E20" w:rsidP="00C13E20">
      <w:pPr>
        <w:spacing w:after="0" w:line="240" w:lineRule="auto"/>
        <w:jc w:val="both"/>
        <w:rPr>
          <w:rFonts w:ascii="Arial" w:hAnsi="Arial" w:cs="Arial"/>
        </w:rPr>
      </w:pPr>
      <w:r w:rsidRPr="00C1472F">
        <w:rPr>
          <w:rFonts w:ascii="Arial" w:hAnsi="Arial" w:cs="Arial"/>
        </w:rPr>
        <w:t>African Gate (AFGT) presents an exciting opportunity for inter- African Trade.</w:t>
      </w:r>
      <w:r w:rsidRPr="00C1472F">
        <w:rPr>
          <w:rFonts w:ascii="Arial" w:hAnsi="Arial" w:cs="Arial"/>
          <w:color w:val="000000"/>
        </w:rPr>
        <w:t xml:space="preserve"> </w:t>
      </w:r>
      <w:r w:rsidRPr="00C1472F">
        <w:rPr>
          <w:rFonts w:ascii="Arial" w:hAnsi="Arial" w:cs="Arial"/>
        </w:rPr>
        <w:t>AFGT is a trade platform will create value by exchanging goods with the potential of re-exporting to new markets. AFGT will start at COMESA states with potential to expand business to cover the TFTA.</w:t>
      </w:r>
    </w:p>
    <w:p w14:paraId="6499FAB7" w14:textId="77777777" w:rsidR="00C13E20" w:rsidRPr="00C1472F" w:rsidRDefault="00C13E20" w:rsidP="00C13E20">
      <w:pPr>
        <w:spacing w:after="0" w:line="240" w:lineRule="auto"/>
        <w:jc w:val="both"/>
        <w:rPr>
          <w:rFonts w:ascii="Arial" w:hAnsi="Arial" w:cs="Arial"/>
        </w:rPr>
      </w:pPr>
    </w:p>
    <w:p w14:paraId="02342B0E" w14:textId="77777777" w:rsidR="00C13E20" w:rsidRPr="00C1472F" w:rsidRDefault="00C13E20" w:rsidP="00C13E20">
      <w:pPr>
        <w:spacing w:after="0" w:line="240" w:lineRule="auto"/>
        <w:jc w:val="both"/>
        <w:rPr>
          <w:rFonts w:ascii="Arial" w:hAnsi="Arial" w:cs="Arial"/>
        </w:rPr>
      </w:pPr>
      <w:r w:rsidRPr="00C1472F">
        <w:rPr>
          <w:rFonts w:ascii="Arial" w:hAnsi="Arial" w:cs="Arial"/>
        </w:rPr>
        <w:t xml:space="preserve">AFGT will work as a B2B platform for commodities and products exchange through its domestic warehouses applying the Countertrade system between the Hub and the branch in each Country to obtain the Commodities it needs by giving goods. </w:t>
      </w:r>
    </w:p>
    <w:p w14:paraId="26647322" w14:textId="77777777" w:rsidR="00C13E20" w:rsidRPr="00C1472F" w:rsidRDefault="00C13E20" w:rsidP="00C13E20">
      <w:pPr>
        <w:spacing w:after="0" w:line="240" w:lineRule="auto"/>
        <w:jc w:val="both"/>
        <w:rPr>
          <w:rFonts w:ascii="Arial" w:hAnsi="Arial" w:cs="Arial"/>
        </w:rPr>
      </w:pPr>
    </w:p>
    <w:p w14:paraId="76A197EC" w14:textId="77777777" w:rsidR="00C13E20" w:rsidRPr="00C1472F" w:rsidRDefault="00C13E20" w:rsidP="00C13E20">
      <w:pPr>
        <w:spacing w:after="0" w:line="240" w:lineRule="auto"/>
        <w:jc w:val="both"/>
        <w:rPr>
          <w:rFonts w:ascii="Arial" w:hAnsi="Arial" w:cs="Arial"/>
        </w:rPr>
      </w:pPr>
      <w:r w:rsidRPr="00C1472F">
        <w:rPr>
          <w:rFonts w:ascii="Arial" w:hAnsi="Arial" w:cs="Arial"/>
        </w:rPr>
        <w:t xml:space="preserve">"Countertrade provides a mechanism for countries with limited access to liquid funds to exchange goods and services with other nations. Countertrade is part of an overall import and export strategy that ensures a country with limited domestic resources has access to needed items. Additionally, it provides the exporting nation with an opportunity to offer goods and services in a larger international market, promoting growth within the industry. </w:t>
      </w:r>
    </w:p>
    <w:p w14:paraId="304E2EE6" w14:textId="77777777" w:rsidR="00C13E20" w:rsidRPr="00C1472F" w:rsidRDefault="00C13E20" w:rsidP="00C13E20">
      <w:pPr>
        <w:spacing w:after="0" w:line="240" w:lineRule="auto"/>
        <w:jc w:val="both"/>
        <w:rPr>
          <w:rFonts w:ascii="Arial" w:hAnsi="Arial" w:cs="Arial"/>
        </w:rPr>
      </w:pPr>
    </w:p>
    <w:p w14:paraId="4269F244" w14:textId="77777777" w:rsidR="00C13E20" w:rsidRPr="00C1472F" w:rsidRDefault="00C13E20" w:rsidP="00C13E20">
      <w:pPr>
        <w:spacing w:after="0" w:line="240" w:lineRule="auto"/>
        <w:jc w:val="both"/>
        <w:rPr>
          <w:rFonts w:ascii="Arial" w:hAnsi="Arial" w:cs="Arial"/>
        </w:rPr>
      </w:pPr>
      <w:r w:rsidRPr="00C1472F">
        <w:rPr>
          <w:rFonts w:ascii="Arial" w:hAnsi="Arial" w:cs="Arial"/>
        </w:rPr>
        <w:lastRenderedPageBreak/>
        <w:t>A major benefit of countertrade is it facilitates conservation of foreign currency, which is a prime consideration for cash-strapped nations and provides an alternative to traditional financing that may not be available in developing nations. Other benefits include increased employment, higher sales, better capacity utilization, and ease of entry into challenging markets."</w:t>
      </w:r>
    </w:p>
    <w:p w14:paraId="757FE3D5" w14:textId="77777777" w:rsidR="00C13E20" w:rsidRPr="00C1472F" w:rsidRDefault="00C13E20" w:rsidP="00C13E20">
      <w:pPr>
        <w:autoSpaceDE w:val="0"/>
        <w:autoSpaceDN w:val="0"/>
        <w:adjustRightInd w:val="0"/>
        <w:spacing w:after="0" w:line="240" w:lineRule="auto"/>
        <w:jc w:val="both"/>
        <w:rPr>
          <w:rFonts w:ascii="Arial" w:hAnsi="Arial" w:cs="Arial"/>
        </w:rPr>
      </w:pPr>
    </w:p>
    <w:p w14:paraId="46544702" w14:textId="7FD0495C" w:rsidR="00C13E20" w:rsidRDefault="00C13E20" w:rsidP="00C13E20">
      <w:pPr>
        <w:numPr>
          <w:ilvl w:val="0"/>
          <w:numId w:val="29"/>
        </w:numPr>
        <w:autoSpaceDE w:val="0"/>
        <w:autoSpaceDN w:val="0"/>
        <w:adjustRightInd w:val="0"/>
        <w:spacing w:after="0" w:line="240" w:lineRule="auto"/>
        <w:ind w:left="0" w:firstLine="0"/>
        <w:jc w:val="both"/>
        <w:rPr>
          <w:rFonts w:ascii="Arial" w:hAnsi="Arial" w:cs="Arial"/>
        </w:rPr>
      </w:pPr>
      <w:r w:rsidRPr="00C1472F">
        <w:rPr>
          <w:rFonts w:ascii="Arial" w:hAnsi="Arial" w:cs="Arial"/>
        </w:rPr>
        <w:t>In addition to the new innovators who will be selected after review of their submissions five previous COMESA innovation award winners will be invited to show case their innovations and mentor upcoming innovators. This is very important because some of the recipients of the COMESA awards have used the award funds as seed capital and they now have established companies.</w:t>
      </w:r>
    </w:p>
    <w:p w14:paraId="749B4FF8" w14:textId="77777777" w:rsidR="00C1472F" w:rsidRPr="00C1472F" w:rsidRDefault="00C1472F" w:rsidP="00C1472F">
      <w:pPr>
        <w:autoSpaceDE w:val="0"/>
        <w:autoSpaceDN w:val="0"/>
        <w:adjustRightInd w:val="0"/>
        <w:spacing w:after="0" w:line="240" w:lineRule="auto"/>
        <w:jc w:val="both"/>
        <w:rPr>
          <w:rFonts w:ascii="Arial" w:hAnsi="Arial" w:cs="Arial"/>
        </w:rPr>
      </w:pPr>
    </w:p>
    <w:p w14:paraId="2A34EF78" w14:textId="00E57587" w:rsidR="00C13E20" w:rsidRPr="00C1472F" w:rsidRDefault="00C13E20" w:rsidP="00C13E20">
      <w:pPr>
        <w:spacing w:after="0" w:line="240" w:lineRule="auto"/>
        <w:rPr>
          <w:rFonts w:ascii="Arial" w:hAnsi="Arial" w:cs="Arial"/>
          <w:b/>
          <w:bCs/>
        </w:rPr>
      </w:pPr>
      <w:r w:rsidRPr="00C1472F">
        <w:rPr>
          <w:rFonts w:ascii="Arial" w:hAnsi="Arial" w:cs="Arial"/>
          <w:b/>
          <w:bCs/>
        </w:rPr>
        <w:t xml:space="preserve">Annex I: 2019 Reviewed and Selected Full </w:t>
      </w:r>
      <w:r w:rsidR="004E5720">
        <w:rPr>
          <w:rFonts w:ascii="Arial" w:hAnsi="Arial" w:cs="Arial"/>
          <w:b/>
          <w:bCs/>
        </w:rPr>
        <w:t>Research P</w:t>
      </w:r>
      <w:r w:rsidRPr="00C1472F">
        <w:rPr>
          <w:rFonts w:ascii="Arial" w:hAnsi="Arial" w:cs="Arial"/>
          <w:b/>
          <w:bCs/>
        </w:rPr>
        <w:t>apers</w:t>
      </w:r>
    </w:p>
    <w:p w14:paraId="4BD39CF8" w14:textId="77777777" w:rsidR="00C13E20" w:rsidRPr="00C1472F" w:rsidRDefault="00C13E20" w:rsidP="00C13E20">
      <w:pPr>
        <w:spacing w:after="0" w:line="240" w:lineRule="auto"/>
        <w:rPr>
          <w:rFonts w:ascii="Arial" w:hAnsi="Arial" w:cs="Arial"/>
          <w:b/>
          <w:bCs/>
        </w:rPr>
      </w:pPr>
    </w:p>
    <w:p w14:paraId="1039AFC9" w14:textId="77777777" w:rsidR="00C13E20" w:rsidRPr="00C1472F" w:rsidRDefault="00C13E20" w:rsidP="00C13E20">
      <w:pPr>
        <w:spacing w:after="0" w:line="240" w:lineRule="auto"/>
        <w:rPr>
          <w:rFonts w:ascii="Arial" w:hAnsi="Arial" w:cs="Arial"/>
          <w:b/>
          <w:bCs/>
        </w:rPr>
      </w:pPr>
    </w:p>
    <w:tbl>
      <w:tblPr>
        <w:tblStyle w:val="TableGrid1"/>
        <w:tblW w:w="0" w:type="auto"/>
        <w:tblLook w:val="04A0" w:firstRow="1" w:lastRow="0" w:firstColumn="1" w:lastColumn="0" w:noHBand="0" w:noVBand="1"/>
      </w:tblPr>
      <w:tblGrid>
        <w:gridCol w:w="495"/>
        <w:gridCol w:w="3515"/>
        <w:gridCol w:w="1751"/>
        <w:gridCol w:w="2954"/>
        <w:gridCol w:w="1139"/>
      </w:tblGrid>
      <w:tr w:rsidR="00C13E20" w:rsidRPr="00C1472F" w14:paraId="0568E648" w14:textId="77777777" w:rsidTr="008369FB">
        <w:tc>
          <w:tcPr>
            <w:tcW w:w="0" w:type="auto"/>
          </w:tcPr>
          <w:p w14:paraId="101975C2" w14:textId="77777777" w:rsidR="00C13E20" w:rsidRPr="00C1472F" w:rsidRDefault="00C13E20" w:rsidP="00C1472F">
            <w:pPr>
              <w:spacing w:after="0" w:line="240" w:lineRule="auto"/>
              <w:rPr>
                <w:rFonts w:ascii="Arial" w:eastAsia="Calibri" w:hAnsi="Arial" w:cs="Arial"/>
                <w:b/>
                <w:sz w:val="20"/>
                <w:szCs w:val="20"/>
              </w:rPr>
            </w:pPr>
          </w:p>
        </w:tc>
        <w:tc>
          <w:tcPr>
            <w:tcW w:w="0" w:type="auto"/>
          </w:tcPr>
          <w:p w14:paraId="3BC74EBF" w14:textId="77777777" w:rsidR="00C13E20" w:rsidRPr="00C1472F" w:rsidRDefault="00C13E20" w:rsidP="00C1472F">
            <w:pPr>
              <w:spacing w:after="0" w:line="240" w:lineRule="auto"/>
              <w:rPr>
                <w:rFonts w:ascii="Arial" w:eastAsia="Calibri" w:hAnsi="Arial" w:cs="Arial"/>
                <w:b/>
                <w:sz w:val="20"/>
                <w:szCs w:val="20"/>
              </w:rPr>
            </w:pPr>
            <w:r w:rsidRPr="00C1472F">
              <w:rPr>
                <w:rFonts w:ascii="Arial" w:eastAsia="Calibri" w:hAnsi="Arial" w:cs="Arial"/>
                <w:b/>
                <w:sz w:val="20"/>
                <w:szCs w:val="20"/>
              </w:rPr>
              <w:t>Title of Paper</w:t>
            </w:r>
          </w:p>
        </w:tc>
        <w:tc>
          <w:tcPr>
            <w:tcW w:w="0" w:type="auto"/>
          </w:tcPr>
          <w:p w14:paraId="6824C2DC" w14:textId="77777777" w:rsidR="00C13E20" w:rsidRPr="00C1472F" w:rsidRDefault="00C13E20" w:rsidP="00C1472F">
            <w:pPr>
              <w:spacing w:after="0" w:line="240" w:lineRule="auto"/>
              <w:rPr>
                <w:rFonts w:ascii="Arial" w:eastAsia="Calibri" w:hAnsi="Arial" w:cs="Arial"/>
                <w:b/>
                <w:sz w:val="20"/>
                <w:szCs w:val="20"/>
              </w:rPr>
            </w:pPr>
            <w:r w:rsidRPr="00C1472F">
              <w:rPr>
                <w:rFonts w:ascii="Arial" w:eastAsia="Calibri" w:hAnsi="Arial" w:cs="Arial"/>
                <w:b/>
                <w:sz w:val="20"/>
                <w:szCs w:val="20"/>
              </w:rPr>
              <w:t>Author</w:t>
            </w:r>
          </w:p>
        </w:tc>
        <w:tc>
          <w:tcPr>
            <w:tcW w:w="0" w:type="auto"/>
          </w:tcPr>
          <w:p w14:paraId="65546B14" w14:textId="77777777" w:rsidR="00C13E20" w:rsidRPr="00C1472F" w:rsidRDefault="00C13E20" w:rsidP="00C1472F">
            <w:pPr>
              <w:spacing w:after="0" w:line="240" w:lineRule="auto"/>
              <w:rPr>
                <w:rFonts w:ascii="Arial" w:eastAsia="Calibri" w:hAnsi="Arial" w:cs="Arial"/>
                <w:b/>
                <w:sz w:val="20"/>
                <w:szCs w:val="20"/>
              </w:rPr>
            </w:pPr>
            <w:r w:rsidRPr="00C1472F">
              <w:rPr>
                <w:rFonts w:ascii="Arial" w:eastAsia="Calibri" w:hAnsi="Arial" w:cs="Arial"/>
                <w:b/>
                <w:sz w:val="20"/>
                <w:szCs w:val="20"/>
              </w:rPr>
              <w:t>Email Address</w:t>
            </w:r>
          </w:p>
        </w:tc>
        <w:tc>
          <w:tcPr>
            <w:tcW w:w="0" w:type="auto"/>
          </w:tcPr>
          <w:p w14:paraId="15640B78" w14:textId="77777777" w:rsidR="00C13E20" w:rsidRDefault="00C13E20" w:rsidP="00C1472F">
            <w:pPr>
              <w:spacing w:after="0" w:line="240" w:lineRule="auto"/>
              <w:rPr>
                <w:rFonts w:ascii="Arial" w:eastAsia="Calibri" w:hAnsi="Arial" w:cs="Arial"/>
                <w:b/>
                <w:sz w:val="20"/>
                <w:szCs w:val="20"/>
              </w:rPr>
            </w:pPr>
            <w:r w:rsidRPr="00C1472F">
              <w:rPr>
                <w:rFonts w:ascii="Arial" w:eastAsia="Calibri" w:hAnsi="Arial" w:cs="Arial"/>
                <w:b/>
                <w:sz w:val="20"/>
                <w:szCs w:val="20"/>
              </w:rPr>
              <w:t>Country</w:t>
            </w:r>
          </w:p>
          <w:p w14:paraId="729CD373" w14:textId="3DB2F4BF" w:rsidR="004E5720" w:rsidRPr="00C1472F" w:rsidRDefault="004E5720" w:rsidP="00C1472F">
            <w:pPr>
              <w:spacing w:after="0" w:line="240" w:lineRule="auto"/>
              <w:rPr>
                <w:rFonts w:ascii="Arial" w:eastAsia="Calibri" w:hAnsi="Arial" w:cs="Arial"/>
                <w:b/>
                <w:sz w:val="20"/>
                <w:szCs w:val="20"/>
              </w:rPr>
            </w:pPr>
          </w:p>
        </w:tc>
      </w:tr>
      <w:tr w:rsidR="00C13E20" w:rsidRPr="00C1472F" w14:paraId="3BDCB9C4" w14:textId="77777777" w:rsidTr="008369FB">
        <w:tc>
          <w:tcPr>
            <w:tcW w:w="0" w:type="auto"/>
          </w:tcPr>
          <w:p w14:paraId="2457033E"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1.</w:t>
            </w:r>
          </w:p>
        </w:tc>
        <w:tc>
          <w:tcPr>
            <w:tcW w:w="0" w:type="auto"/>
          </w:tcPr>
          <w:p w14:paraId="3AD2F551" w14:textId="61D5DDC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Innovation, Exports and Productivity across COMESA Countries: </w:t>
            </w:r>
          </w:p>
        </w:tc>
        <w:tc>
          <w:tcPr>
            <w:tcW w:w="0" w:type="auto"/>
          </w:tcPr>
          <w:p w14:paraId="4A19EF0E"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Verena </w:t>
            </w:r>
            <w:proofErr w:type="spellStart"/>
            <w:r w:rsidRPr="00C1472F">
              <w:rPr>
                <w:rFonts w:ascii="Arial" w:eastAsia="Calibri" w:hAnsi="Arial" w:cs="Arial"/>
                <w:sz w:val="20"/>
                <w:szCs w:val="20"/>
              </w:rPr>
              <w:t>Tandrayen</w:t>
            </w:r>
            <w:proofErr w:type="spellEnd"/>
          </w:p>
        </w:tc>
        <w:tc>
          <w:tcPr>
            <w:tcW w:w="0" w:type="auto"/>
          </w:tcPr>
          <w:p w14:paraId="5FF4C2A0"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v.tandrayen@uom.ac.mu</w:t>
            </w:r>
          </w:p>
        </w:tc>
        <w:tc>
          <w:tcPr>
            <w:tcW w:w="0" w:type="auto"/>
          </w:tcPr>
          <w:p w14:paraId="4BDB6C76"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Mauritius</w:t>
            </w:r>
          </w:p>
        </w:tc>
      </w:tr>
      <w:tr w:rsidR="00C13E20" w:rsidRPr="00C1472F" w14:paraId="6C4F8C7A" w14:textId="77777777" w:rsidTr="008369FB">
        <w:tc>
          <w:tcPr>
            <w:tcW w:w="0" w:type="auto"/>
          </w:tcPr>
          <w:p w14:paraId="1DCF784F"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2.</w:t>
            </w:r>
          </w:p>
        </w:tc>
        <w:tc>
          <w:tcPr>
            <w:tcW w:w="0" w:type="auto"/>
          </w:tcPr>
          <w:p w14:paraId="36D3BD88" w14:textId="5DE2D36D"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The role of trade in innovation and socio-economic transformation in COMESA countries.</w:t>
            </w:r>
          </w:p>
        </w:tc>
        <w:tc>
          <w:tcPr>
            <w:tcW w:w="0" w:type="auto"/>
          </w:tcPr>
          <w:p w14:paraId="741AE597"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t>Jedah</w:t>
            </w:r>
            <w:proofErr w:type="spellEnd"/>
            <w:r w:rsidRPr="00C1472F">
              <w:rPr>
                <w:rFonts w:ascii="Arial" w:eastAsia="Calibri" w:hAnsi="Arial" w:cs="Arial"/>
                <w:sz w:val="20"/>
                <w:szCs w:val="20"/>
              </w:rPr>
              <w:t xml:space="preserve"> </w:t>
            </w:r>
            <w:proofErr w:type="spellStart"/>
            <w:r w:rsidRPr="00C1472F">
              <w:rPr>
                <w:rFonts w:ascii="Arial" w:eastAsia="Calibri" w:hAnsi="Arial" w:cs="Arial"/>
                <w:sz w:val="20"/>
                <w:szCs w:val="20"/>
              </w:rPr>
              <w:t>Nyaboe</w:t>
            </w:r>
            <w:proofErr w:type="spellEnd"/>
          </w:p>
        </w:tc>
        <w:tc>
          <w:tcPr>
            <w:tcW w:w="0" w:type="auto"/>
          </w:tcPr>
          <w:p w14:paraId="46E6D43B"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jnyaboe@gmail.com</w:t>
            </w:r>
          </w:p>
        </w:tc>
        <w:tc>
          <w:tcPr>
            <w:tcW w:w="0" w:type="auto"/>
          </w:tcPr>
          <w:p w14:paraId="2068B75F"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Kenya</w:t>
            </w:r>
          </w:p>
        </w:tc>
      </w:tr>
      <w:tr w:rsidR="00C13E20" w:rsidRPr="00C1472F" w14:paraId="1ABD3AB2" w14:textId="77777777" w:rsidTr="008369FB">
        <w:tc>
          <w:tcPr>
            <w:tcW w:w="0" w:type="auto"/>
          </w:tcPr>
          <w:p w14:paraId="42CD23C6"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3.</w:t>
            </w:r>
          </w:p>
        </w:tc>
        <w:tc>
          <w:tcPr>
            <w:tcW w:w="0" w:type="auto"/>
          </w:tcPr>
          <w:p w14:paraId="4C19E50C" w14:textId="64AA0BAF"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Does the quality of governance matter in the nexus between innovation and intra-regional export performance?  The Case of COMESA.</w:t>
            </w:r>
          </w:p>
        </w:tc>
        <w:tc>
          <w:tcPr>
            <w:tcW w:w="0" w:type="auto"/>
          </w:tcPr>
          <w:p w14:paraId="1874EA15"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Adam Willie</w:t>
            </w:r>
          </w:p>
        </w:tc>
        <w:tc>
          <w:tcPr>
            <w:tcW w:w="0" w:type="auto"/>
          </w:tcPr>
          <w:p w14:paraId="5844F09C"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willieadam80@gmail.com</w:t>
            </w:r>
          </w:p>
        </w:tc>
        <w:tc>
          <w:tcPr>
            <w:tcW w:w="0" w:type="auto"/>
          </w:tcPr>
          <w:p w14:paraId="67CF675D"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Zimbabwe</w:t>
            </w:r>
          </w:p>
        </w:tc>
      </w:tr>
      <w:tr w:rsidR="00C13E20" w:rsidRPr="00C1472F" w14:paraId="1EA8954E" w14:textId="77777777" w:rsidTr="008369FB">
        <w:tc>
          <w:tcPr>
            <w:tcW w:w="0" w:type="auto"/>
          </w:tcPr>
          <w:p w14:paraId="68818552"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4.</w:t>
            </w:r>
          </w:p>
        </w:tc>
        <w:tc>
          <w:tcPr>
            <w:tcW w:w="0" w:type="auto"/>
          </w:tcPr>
          <w:p w14:paraId="1801A327" w14:textId="6A8F2418"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Technological progress and trade in COMESA. A </w:t>
            </w:r>
            <w:proofErr w:type="spellStart"/>
            <w:r w:rsidRPr="00C1472F">
              <w:rPr>
                <w:rFonts w:ascii="Arial" w:eastAsia="Calibri" w:hAnsi="Arial" w:cs="Arial"/>
                <w:sz w:val="20"/>
                <w:szCs w:val="20"/>
              </w:rPr>
              <w:t>pvar</w:t>
            </w:r>
            <w:proofErr w:type="spellEnd"/>
            <w:r w:rsidRPr="00C1472F">
              <w:rPr>
                <w:rFonts w:ascii="Arial" w:eastAsia="Calibri" w:hAnsi="Arial" w:cs="Arial"/>
                <w:sz w:val="20"/>
                <w:szCs w:val="20"/>
              </w:rPr>
              <w:t xml:space="preserve"> investigation</w:t>
            </w:r>
          </w:p>
        </w:tc>
        <w:tc>
          <w:tcPr>
            <w:tcW w:w="0" w:type="auto"/>
          </w:tcPr>
          <w:p w14:paraId="11DCCA37"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t>Sheereen</w:t>
            </w:r>
            <w:proofErr w:type="spellEnd"/>
            <w:r w:rsidRPr="00C1472F">
              <w:rPr>
                <w:rFonts w:ascii="Arial" w:eastAsia="Calibri" w:hAnsi="Arial" w:cs="Arial"/>
                <w:sz w:val="20"/>
                <w:szCs w:val="20"/>
              </w:rPr>
              <w:t xml:space="preserve"> </w:t>
            </w:r>
            <w:proofErr w:type="spellStart"/>
            <w:r w:rsidRPr="00C1472F">
              <w:rPr>
                <w:rFonts w:ascii="Arial" w:eastAsia="Calibri" w:hAnsi="Arial" w:cs="Arial"/>
                <w:sz w:val="20"/>
                <w:szCs w:val="20"/>
              </w:rPr>
              <w:t>Banon</w:t>
            </w:r>
            <w:proofErr w:type="spellEnd"/>
            <w:r w:rsidRPr="00C1472F">
              <w:rPr>
                <w:rFonts w:ascii="Arial" w:eastAsia="Calibri" w:hAnsi="Arial" w:cs="Arial"/>
                <w:sz w:val="20"/>
                <w:szCs w:val="20"/>
              </w:rPr>
              <w:t xml:space="preserve"> </w:t>
            </w:r>
            <w:proofErr w:type="spellStart"/>
            <w:r w:rsidRPr="00C1472F">
              <w:rPr>
                <w:rFonts w:ascii="Arial" w:eastAsia="Calibri" w:hAnsi="Arial" w:cs="Arial"/>
                <w:sz w:val="20"/>
                <w:szCs w:val="20"/>
              </w:rPr>
              <w:t>Fauzel</w:t>
            </w:r>
            <w:proofErr w:type="spellEnd"/>
            <w:r w:rsidRPr="00C1472F">
              <w:rPr>
                <w:rFonts w:ascii="Arial" w:eastAsia="Calibri" w:hAnsi="Arial" w:cs="Arial"/>
                <w:sz w:val="20"/>
                <w:szCs w:val="20"/>
              </w:rPr>
              <w:t xml:space="preserve"> </w:t>
            </w:r>
          </w:p>
        </w:tc>
        <w:tc>
          <w:tcPr>
            <w:tcW w:w="0" w:type="auto"/>
          </w:tcPr>
          <w:p w14:paraId="5E46588D"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s.fauzel@uom.ac.mu</w:t>
            </w:r>
          </w:p>
        </w:tc>
        <w:tc>
          <w:tcPr>
            <w:tcW w:w="0" w:type="auto"/>
          </w:tcPr>
          <w:p w14:paraId="4BBFF862"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Mauritius</w:t>
            </w:r>
          </w:p>
        </w:tc>
      </w:tr>
      <w:tr w:rsidR="00C13E20" w:rsidRPr="00C1472F" w14:paraId="360CE321" w14:textId="77777777" w:rsidTr="008369FB">
        <w:tc>
          <w:tcPr>
            <w:tcW w:w="0" w:type="auto"/>
          </w:tcPr>
          <w:p w14:paraId="447492AC"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5.</w:t>
            </w:r>
          </w:p>
        </w:tc>
        <w:tc>
          <w:tcPr>
            <w:tcW w:w="0" w:type="auto"/>
          </w:tcPr>
          <w:p w14:paraId="472BB94F"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Technology-Innovation Gap Approach Why Some Countries Prosper While Others Fall Behind</w:t>
            </w:r>
          </w:p>
        </w:tc>
        <w:tc>
          <w:tcPr>
            <w:tcW w:w="0" w:type="auto"/>
          </w:tcPr>
          <w:p w14:paraId="7370E9F5"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t>Bhavish</w:t>
            </w:r>
            <w:proofErr w:type="spellEnd"/>
            <w:r w:rsidRPr="00C1472F">
              <w:rPr>
                <w:rFonts w:ascii="Arial" w:eastAsia="Calibri" w:hAnsi="Arial" w:cs="Arial"/>
                <w:sz w:val="20"/>
                <w:szCs w:val="20"/>
              </w:rPr>
              <w:t xml:space="preserve"> </w:t>
            </w:r>
            <w:proofErr w:type="spellStart"/>
            <w:r w:rsidRPr="00C1472F">
              <w:rPr>
                <w:rFonts w:ascii="Arial" w:eastAsia="Calibri" w:hAnsi="Arial" w:cs="Arial"/>
                <w:sz w:val="20"/>
                <w:szCs w:val="20"/>
              </w:rPr>
              <w:t>Jugurnath</w:t>
            </w:r>
            <w:proofErr w:type="spellEnd"/>
            <w:r w:rsidRPr="00C1472F">
              <w:rPr>
                <w:rFonts w:ascii="Arial" w:eastAsia="Calibri" w:hAnsi="Arial" w:cs="Arial"/>
                <w:sz w:val="20"/>
                <w:szCs w:val="20"/>
              </w:rPr>
              <w:t xml:space="preserve"> </w:t>
            </w:r>
          </w:p>
        </w:tc>
        <w:tc>
          <w:tcPr>
            <w:tcW w:w="0" w:type="auto"/>
          </w:tcPr>
          <w:p w14:paraId="4DCC492D"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bhavish.jugurnath@gmail.com</w:t>
            </w:r>
          </w:p>
        </w:tc>
        <w:tc>
          <w:tcPr>
            <w:tcW w:w="0" w:type="auto"/>
          </w:tcPr>
          <w:p w14:paraId="31200FDA"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Mauritius</w:t>
            </w:r>
          </w:p>
        </w:tc>
      </w:tr>
      <w:tr w:rsidR="00C13E20" w:rsidRPr="00C1472F" w14:paraId="61AE2607" w14:textId="77777777" w:rsidTr="008369FB">
        <w:tc>
          <w:tcPr>
            <w:tcW w:w="0" w:type="auto"/>
          </w:tcPr>
          <w:p w14:paraId="27724706"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6.</w:t>
            </w:r>
          </w:p>
        </w:tc>
        <w:tc>
          <w:tcPr>
            <w:tcW w:w="0" w:type="auto"/>
          </w:tcPr>
          <w:p w14:paraId="661B8971"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color w:val="000000"/>
                <w:sz w:val="20"/>
                <w:szCs w:val="20"/>
              </w:rPr>
              <w:t>Innovation and trade within COMESA</w:t>
            </w:r>
          </w:p>
        </w:tc>
        <w:tc>
          <w:tcPr>
            <w:tcW w:w="0" w:type="auto"/>
          </w:tcPr>
          <w:p w14:paraId="4974B334"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Rodgers </w:t>
            </w:r>
            <w:proofErr w:type="spellStart"/>
            <w:r w:rsidRPr="00C1472F">
              <w:rPr>
                <w:rFonts w:ascii="Arial" w:eastAsia="Calibri" w:hAnsi="Arial" w:cs="Arial"/>
                <w:sz w:val="20"/>
                <w:szCs w:val="20"/>
              </w:rPr>
              <w:t>Wanyonyi</w:t>
            </w:r>
            <w:proofErr w:type="spellEnd"/>
            <w:r w:rsidRPr="00C1472F">
              <w:rPr>
                <w:rFonts w:ascii="Arial" w:eastAsia="Calibri" w:hAnsi="Arial" w:cs="Arial"/>
                <w:sz w:val="20"/>
                <w:szCs w:val="20"/>
              </w:rPr>
              <w:t xml:space="preserve"> </w:t>
            </w:r>
          </w:p>
        </w:tc>
        <w:tc>
          <w:tcPr>
            <w:tcW w:w="0" w:type="auto"/>
          </w:tcPr>
          <w:p w14:paraId="1D0BB519"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rodgersasmani@gmail.com</w:t>
            </w:r>
          </w:p>
        </w:tc>
        <w:tc>
          <w:tcPr>
            <w:tcW w:w="0" w:type="auto"/>
          </w:tcPr>
          <w:p w14:paraId="652F4670"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Kenya</w:t>
            </w:r>
          </w:p>
        </w:tc>
      </w:tr>
      <w:tr w:rsidR="00C13E20" w:rsidRPr="00C1472F" w14:paraId="1D640E6A" w14:textId="77777777" w:rsidTr="008369FB">
        <w:tc>
          <w:tcPr>
            <w:tcW w:w="0" w:type="auto"/>
          </w:tcPr>
          <w:p w14:paraId="70F5D798"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7.</w:t>
            </w:r>
          </w:p>
        </w:tc>
        <w:tc>
          <w:tcPr>
            <w:tcW w:w="0" w:type="auto"/>
          </w:tcPr>
          <w:p w14:paraId="225CE87E"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Impact of Intellectual Property Rights on intra-COMESA Trade Flows</w:t>
            </w:r>
          </w:p>
          <w:p w14:paraId="614FF06E" w14:textId="77777777" w:rsidR="00C13E20" w:rsidRPr="00C1472F" w:rsidRDefault="00C13E20" w:rsidP="00C1472F">
            <w:pPr>
              <w:spacing w:after="0" w:line="240" w:lineRule="auto"/>
              <w:rPr>
                <w:rFonts w:ascii="Arial" w:eastAsia="Calibri" w:hAnsi="Arial" w:cs="Arial"/>
                <w:sz w:val="20"/>
                <w:szCs w:val="20"/>
              </w:rPr>
            </w:pPr>
          </w:p>
        </w:tc>
        <w:tc>
          <w:tcPr>
            <w:tcW w:w="0" w:type="auto"/>
          </w:tcPr>
          <w:p w14:paraId="52C790D0"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Douglas </w:t>
            </w:r>
            <w:proofErr w:type="spellStart"/>
            <w:r w:rsidRPr="00C1472F">
              <w:rPr>
                <w:rFonts w:ascii="Arial" w:eastAsia="Calibri" w:hAnsi="Arial" w:cs="Arial"/>
                <w:sz w:val="20"/>
                <w:szCs w:val="20"/>
              </w:rPr>
              <w:t>Chikabwi</w:t>
            </w:r>
            <w:proofErr w:type="spellEnd"/>
          </w:p>
        </w:tc>
        <w:tc>
          <w:tcPr>
            <w:tcW w:w="0" w:type="auto"/>
          </w:tcPr>
          <w:p w14:paraId="4D0B6822"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dougiechikabwi@gmail.com</w:t>
            </w:r>
          </w:p>
        </w:tc>
        <w:tc>
          <w:tcPr>
            <w:tcW w:w="0" w:type="auto"/>
          </w:tcPr>
          <w:p w14:paraId="49A6C1C2"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Zimbabwe</w:t>
            </w:r>
          </w:p>
        </w:tc>
      </w:tr>
      <w:tr w:rsidR="00C13E20" w:rsidRPr="00C1472F" w14:paraId="66C1CBA8" w14:textId="77777777" w:rsidTr="008369FB">
        <w:tc>
          <w:tcPr>
            <w:tcW w:w="0" w:type="auto"/>
          </w:tcPr>
          <w:p w14:paraId="2289B14E"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8.</w:t>
            </w:r>
          </w:p>
        </w:tc>
        <w:tc>
          <w:tcPr>
            <w:tcW w:w="0" w:type="auto"/>
          </w:tcPr>
          <w:p w14:paraId="1763CB0A"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Technology and innovation. A catalyst for trade</w:t>
            </w:r>
          </w:p>
        </w:tc>
        <w:tc>
          <w:tcPr>
            <w:tcW w:w="0" w:type="auto"/>
          </w:tcPr>
          <w:p w14:paraId="6A70FFF8"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t>Sangwani</w:t>
            </w:r>
            <w:proofErr w:type="spellEnd"/>
            <w:r w:rsidRPr="00C1472F">
              <w:rPr>
                <w:rFonts w:ascii="Arial" w:eastAsia="Calibri" w:hAnsi="Arial" w:cs="Arial"/>
                <w:sz w:val="20"/>
                <w:szCs w:val="20"/>
              </w:rPr>
              <w:t xml:space="preserve"> Mkandawire </w:t>
            </w:r>
          </w:p>
        </w:tc>
        <w:tc>
          <w:tcPr>
            <w:tcW w:w="0" w:type="auto"/>
          </w:tcPr>
          <w:p w14:paraId="0C18B5EC"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smkandawire1991@gmail.com</w:t>
            </w:r>
          </w:p>
        </w:tc>
        <w:tc>
          <w:tcPr>
            <w:tcW w:w="0" w:type="auto"/>
          </w:tcPr>
          <w:p w14:paraId="2B07D6A2" w14:textId="77777777" w:rsidR="00C13E20" w:rsidRPr="00C1472F" w:rsidRDefault="00C13E20" w:rsidP="00C1472F">
            <w:pPr>
              <w:spacing w:after="0" w:line="240" w:lineRule="auto"/>
              <w:rPr>
                <w:rFonts w:ascii="Arial" w:eastAsia="Calibri" w:hAnsi="Arial" w:cs="Arial"/>
                <w:sz w:val="20"/>
                <w:szCs w:val="20"/>
                <w:lang w:val="en-US"/>
              </w:rPr>
            </w:pPr>
            <w:r w:rsidRPr="00C1472F">
              <w:rPr>
                <w:rFonts w:ascii="Arial" w:eastAsia="Calibri" w:hAnsi="Arial" w:cs="Arial"/>
                <w:sz w:val="20"/>
                <w:szCs w:val="20"/>
                <w:lang w:val="en-US"/>
              </w:rPr>
              <w:t>Malawi</w:t>
            </w:r>
          </w:p>
        </w:tc>
      </w:tr>
      <w:tr w:rsidR="00C13E20" w:rsidRPr="00C1472F" w14:paraId="503A2917" w14:textId="77777777" w:rsidTr="008369FB">
        <w:tc>
          <w:tcPr>
            <w:tcW w:w="0" w:type="auto"/>
          </w:tcPr>
          <w:p w14:paraId="33AEDED3"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9.</w:t>
            </w:r>
          </w:p>
        </w:tc>
        <w:tc>
          <w:tcPr>
            <w:tcW w:w="0" w:type="auto"/>
          </w:tcPr>
          <w:p w14:paraId="601C498E" w14:textId="10689FA9"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Technology Diffusion in COMESA member states: Role of Trade and Human Capital Movements</w:t>
            </w:r>
          </w:p>
        </w:tc>
        <w:tc>
          <w:tcPr>
            <w:tcW w:w="0" w:type="auto"/>
          </w:tcPr>
          <w:p w14:paraId="383EA47A"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t>Shingirirai</w:t>
            </w:r>
            <w:proofErr w:type="spellEnd"/>
            <w:r w:rsidRPr="00C1472F">
              <w:rPr>
                <w:rFonts w:ascii="Arial" w:eastAsia="Calibri" w:hAnsi="Arial" w:cs="Arial"/>
                <w:sz w:val="20"/>
                <w:szCs w:val="20"/>
              </w:rPr>
              <w:t xml:space="preserve"> </w:t>
            </w:r>
            <w:proofErr w:type="spellStart"/>
            <w:r w:rsidRPr="00C1472F">
              <w:rPr>
                <w:rFonts w:ascii="Arial" w:eastAsia="Calibri" w:hAnsi="Arial" w:cs="Arial"/>
                <w:sz w:val="20"/>
                <w:szCs w:val="20"/>
              </w:rPr>
              <w:t>Mashura</w:t>
            </w:r>
            <w:proofErr w:type="spellEnd"/>
          </w:p>
          <w:p w14:paraId="5638B8A2" w14:textId="77777777" w:rsidR="00C13E20" w:rsidRPr="00C1472F" w:rsidRDefault="00C13E20" w:rsidP="00C1472F">
            <w:pPr>
              <w:spacing w:after="0" w:line="240" w:lineRule="auto"/>
              <w:rPr>
                <w:rFonts w:ascii="Arial" w:eastAsia="Calibri" w:hAnsi="Arial" w:cs="Arial"/>
                <w:sz w:val="20"/>
                <w:szCs w:val="20"/>
              </w:rPr>
            </w:pPr>
          </w:p>
        </w:tc>
        <w:tc>
          <w:tcPr>
            <w:tcW w:w="0" w:type="auto"/>
          </w:tcPr>
          <w:p w14:paraId="590FF04C"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mashuras@yahoo.com</w:t>
            </w:r>
          </w:p>
        </w:tc>
        <w:tc>
          <w:tcPr>
            <w:tcW w:w="0" w:type="auto"/>
          </w:tcPr>
          <w:p w14:paraId="53827E75"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Zimbabwe</w:t>
            </w:r>
          </w:p>
        </w:tc>
      </w:tr>
      <w:tr w:rsidR="00C13E20" w:rsidRPr="00C1472F" w14:paraId="16E43D9F" w14:textId="77777777" w:rsidTr="008369FB">
        <w:tc>
          <w:tcPr>
            <w:tcW w:w="0" w:type="auto"/>
          </w:tcPr>
          <w:p w14:paraId="62474858"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10.</w:t>
            </w:r>
          </w:p>
        </w:tc>
        <w:tc>
          <w:tcPr>
            <w:tcW w:w="0" w:type="auto"/>
          </w:tcPr>
          <w:p w14:paraId="63AF54DF"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The Role of Intellectual Property Rights on Intra-COMESA Trade</w:t>
            </w:r>
          </w:p>
          <w:p w14:paraId="5857E758" w14:textId="77777777" w:rsidR="00C13E20" w:rsidRPr="00C1472F" w:rsidRDefault="00C13E20" w:rsidP="00C1472F">
            <w:pPr>
              <w:spacing w:after="0" w:line="240" w:lineRule="auto"/>
              <w:rPr>
                <w:rFonts w:ascii="Arial" w:eastAsia="Calibri" w:hAnsi="Arial" w:cs="Arial"/>
                <w:sz w:val="20"/>
                <w:szCs w:val="20"/>
              </w:rPr>
            </w:pPr>
          </w:p>
        </w:tc>
        <w:tc>
          <w:tcPr>
            <w:tcW w:w="0" w:type="auto"/>
          </w:tcPr>
          <w:p w14:paraId="3F53103B"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Stein </w:t>
            </w:r>
            <w:proofErr w:type="spellStart"/>
            <w:r w:rsidRPr="00C1472F">
              <w:rPr>
                <w:rFonts w:ascii="Arial" w:eastAsia="Calibri" w:hAnsi="Arial" w:cs="Arial"/>
                <w:sz w:val="20"/>
                <w:szCs w:val="20"/>
              </w:rPr>
              <w:t>Masunda</w:t>
            </w:r>
            <w:proofErr w:type="spellEnd"/>
          </w:p>
          <w:p w14:paraId="70A28B89" w14:textId="77777777" w:rsidR="00C13E20" w:rsidRPr="00C1472F" w:rsidRDefault="00C13E20" w:rsidP="00C1472F">
            <w:pPr>
              <w:spacing w:after="0" w:line="240" w:lineRule="auto"/>
              <w:rPr>
                <w:rFonts w:ascii="Arial" w:eastAsia="Calibri" w:hAnsi="Arial" w:cs="Arial"/>
                <w:sz w:val="20"/>
                <w:szCs w:val="20"/>
              </w:rPr>
            </w:pPr>
          </w:p>
        </w:tc>
        <w:tc>
          <w:tcPr>
            <w:tcW w:w="0" w:type="auto"/>
          </w:tcPr>
          <w:p w14:paraId="26CFFA63"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smasunda@gmail.com</w:t>
            </w:r>
          </w:p>
        </w:tc>
        <w:tc>
          <w:tcPr>
            <w:tcW w:w="0" w:type="auto"/>
          </w:tcPr>
          <w:p w14:paraId="13C565EF" w14:textId="77777777" w:rsidR="00C13E20" w:rsidRPr="00C1472F" w:rsidRDefault="00C13E20" w:rsidP="00C1472F">
            <w:pPr>
              <w:spacing w:after="0" w:line="240" w:lineRule="auto"/>
              <w:rPr>
                <w:rFonts w:ascii="Arial" w:eastAsia="Calibri" w:hAnsi="Arial" w:cs="Arial"/>
                <w:sz w:val="20"/>
                <w:szCs w:val="20"/>
                <w:lang w:val="en-US"/>
              </w:rPr>
            </w:pPr>
            <w:r w:rsidRPr="00C1472F">
              <w:rPr>
                <w:rFonts w:ascii="Arial" w:eastAsia="Calibri" w:hAnsi="Arial" w:cs="Arial"/>
                <w:sz w:val="20"/>
                <w:szCs w:val="20"/>
                <w:lang w:val="en-US"/>
              </w:rPr>
              <w:t>Zimbabwe</w:t>
            </w:r>
          </w:p>
        </w:tc>
      </w:tr>
      <w:tr w:rsidR="00C13E20" w:rsidRPr="00C1472F" w14:paraId="2E674A30" w14:textId="77777777" w:rsidTr="008369FB">
        <w:tc>
          <w:tcPr>
            <w:tcW w:w="0" w:type="auto"/>
          </w:tcPr>
          <w:p w14:paraId="4D1CAE4A"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11.</w:t>
            </w:r>
          </w:p>
        </w:tc>
        <w:tc>
          <w:tcPr>
            <w:tcW w:w="0" w:type="auto"/>
          </w:tcPr>
          <w:p w14:paraId="0AD4349D" w14:textId="18C1E24D"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R&amp;D Investments and Industrial Productivity in COMESA: The Intervening Role of University-based International Centres of Excellence</w:t>
            </w:r>
          </w:p>
        </w:tc>
        <w:tc>
          <w:tcPr>
            <w:tcW w:w="0" w:type="auto"/>
          </w:tcPr>
          <w:p w14:paraId="09F32F86"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Abel E. </w:t>
            </w:r>
            <w:proofErr w:type="spellStart"/>
            <w:r w:rsidRPr="00C1472F">
              <w:rPr>
                <w:rFonts w:ascii="Arial" w:eastAsia="Calibri" w:hAnsi="Arial" w:cs="Arial"/>
                <w:sz w:val="20"/>
                <w:szCs w:val="20"/>
              </w:rPr>
              <w:t>Ezeoha</w:t>
            </w:r>
            <w:proofErr w:type="spellEnd"/>
          </w:p>
        </w:tc>
        <w:tc>
          <w:tcPr>
            <w:tcW w:w="0" w:type="auto"/>
          </w:tcPr>
          <w:p w14:paraId="5172DBE7"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aezeoha@gmail.com</w:t>
            </w:r>
          </w:p>
        </w:tc>
        <w:tc>
          <w:tcPr>
            <w:tcW w:w="0" w:type="auto"/>
          </w:tcPr>
          <w:p w14:paraId="3E6B1DE9"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Nigeria</w:t>
            </w:r>
          </w:p>
        </w:tc>
      </w:tr>
      <w:tr w:rsidR="00C13E20" w:rsidRPr="00C1472F" w14:paraId="3CA6D3B4" w14:textId="77777777" w:rsidTr="008369FB">
        <w:tc>
          <w:tcPr>
            <w:tcW w:w="0" w:type="auto"/>
          </w:tcPr>
          <w:p w14:paraId="4B95E569"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12.</w:t>
            </w:r>
          </w:p>
        </w:tc>
        <w:tc>
          <w:tcPr>
            <w:tcW w:w="0" w:type="auto"/>
          </w:tcPr>
          <w:p w14:paraId="0ED0D61B" w14:textId="61135786"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Intellectual Property Rights, Innovation and Trade in Developing Countries: Evidence from COMESA Countries</w:t>
            </w:r>
          </w:p>
        </w:tc>
        <w:tc>
          <w:tcPr>
            <w:tcW w:w="0" w:type="auto"/>
          </w:tcPr>
          <w:p w14:paraId="7CB270B1"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lang w:val="en-ZW"/>
              </w:rPr>
              <w:t xml:space="preserve">Albert </w:t>
            </w:r>
            <w:proofErr w:type="spellStart"/>
            <w:r w:rsidRPr="00C1472F">
              <w:rPr>
                <w:rFonts w:ascii="Arial" w:eastAsia="Calibri" w:hAnsi="Arial" w:cs="Arial"/>
                <w:sz w:val="20"/>
                <w:szCs w:val="20"/>
                <w:lang w:val="en-ZW"/>
              </w:rPr>
              <w:t>Makochekanwa</w:t>
            </w:r>
            <w:proofErr w:type="spellEnd"/>
          </w:p>
        </w:tc>
        <w:tc>
          <w:tcPr>
            <w:tcW w:w="0" w:type="auto"/>
          </w:tcPr>
          <w:p w14:paraId="649A40EB"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almac772002@yahoo.co.uk</w:t>
            </w:r>
          </w:p>
        </w:tc>
        <w:tc>
          <w:tcPr>
            <w:tcW w:w="0" w:type="auto"/>
          </w:tcPr>
          <w:p w14:paraId="0CB952B6"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Zimbabwe</w:t>
            </w:r>
          </w:p>
        </w:tc>
      </w:tr>
      <w:tr w:rsidR="00C13E20" w:rsidRPr="00C1472F" w14:paraId="2231BF51" w14:textId="77777777" w:rsidTr="008369FB">
        <w:tc>
          <w:tcPr>
            <w:tcW w:w="0" w:type="auto"/>
          </w:tcPr>
          <w:p w14:paraId="67147415"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13.</w:t>
            </w:r>
          </w:p>
        </w:tc>
        <w:tc>
          <w:tcPr>
            <w:tcW w:w="0" w:type="auto"/>
          </w:tcPr>
          <w:p w14:paraId="16B645B7"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 xml:space="preserve">Leveraging Innovation and Quality Standards to Increase Intra-regional trade: </w:t>
            </w:r>
          </w:p>
          <w:p w14:paraId="4D410620" w14:textId="3E118852"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lastRenderedPageBreak/>
              <w:t>The Case of the Common Market for Eastern and Southern African Region</w:t>
            </w:r>
          </w:p>
        </w:tc>
        <w:tc>
          <w:tcPr>
            <w:tcW w:w="0" w:type="auto"/>
          </w:tcPr>
          <w:p w14:paraId="5294D99B"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lastRenderedPageBreak/>
              <w:t>Shinyekwa</w:t>
            </w:r>
            <w:proofErr w:type="spellEnd"/>
            <w:r w:rsidRPr="00C1472F">
              <w:rPr>
                <w:rFonts w:ascii="Arial" w:eastAsia="Calibri" w:hAnsi="Arial" w:cs="Arial"/>
                <w:sz w:val="20"/>
                <w:szCs w:val="20"/>
              </w:rPr>
              <w:t>,</w:t>
            </w:r>
          </w:p>
          <w:p w14:paraId="336D034C" w14:textId="77777777" w:rsidR="00C13E20" w:rsidRPr="00C1472F" w:rsidRDefault="00C13E20" w:rsidP="00C1472F">
            <w:pPr>
              <w:spacing w:after="0" w:line="240" w:lineRule="auto"/>
              <w:rPr>
                <w:rFonts w:ascii="Arial" w:eastAsia="Calibri" w:hAnsi="Arial" w:cs="Arial"/>
                <w:sz w:val="20"/>
                <w:szCs w:val="20"/>
              </w:rPr>
            </w:pPr>
            <w:proofErr w:type="spellStart"/>
            <w:r w:rsidRPr="00C1472F">
              <w:rPr>
                <w:rFonts w:ascii="Arial" w:eastAsia="Calibri" w:hAnsi="Arial" w:cs="Arial"/>
                <w:sz w:val="20"/>
                <w:szCs w:val="20"/>
              </w:rPr>
              <w:t>Lakuma</w:t>
            </w:r>
            <w:proofErr w:type="spellEnd"/>
            <w:r w:rsidRPr="00C1472F">
              <w:rPr>
                <w:rFonts w:ascii="Arial" w:eastAsia="Calibri" w:hAnsi="Arial" w:cs="Arial"/>
                <w:sz w:val="20"/>
                <w:szCs w:val="20"/>
              </w:rPr>
              <w:t xml:space="preserve"> &amp; </w:t>
            </w:r>
          </w:p>
          <w:p w14:paraId="78245B57" w14:textId="77777777" w:rsidR="00C13E20" w:rsidRPr="00C1472F" w:rsidRDefault="00C13E20" w:rsidP="00C1472F">
            <w:pPr>
              <w:spacing w:after="0" w:line="240" w:lineRule="auto"/>
              <w:rPr>
                <w:rFonts w:ascii="Arial" w:eastAsia="Calibri" w:hAnsi="Arial" w:cs="Arial"/>
                <w:b/>
                <w:sz w:val="20"/>
                <w:szCs w:val="20"/>
              </w:rPr>
            </w:pPr>
            <w:proofErr w:type="spellStart"/>
            <w:r w:rsidRPr="00C1472F">
              <w:rPr>
                <w:rFonts w:ascii="Arial" w:eastAsia="Calibri" w:hAnsi="Arial" w:cs="Arial"/>
                <w:sz w:val="20"/>
                <w:szCs w:val="20"/>
              </w:rPr>
              <w:t>Munu</w:t>
            </w:r>
            <w:proofErr w:type="spellEnd"/>
          </w:p>
          <w:p w14:paraId="25D1058E" w14:textId="77777777" w:rsidR="00C13E20" w:rsidRPr="00C1472F" w:rsidRDefault="00C13E20" w:rsidP="00C1472F">
            <w:pPr>
              <w:spacing w:after="0" w:line="240" w:lineRule="auto"/>
              <w:rPr>
                <w:rFonts w:ascii="Arial" w:eastAsia="Calibri" w:hAnsi="Arial" w:cs="Arial"/>
                <w:sz w:val="20"/>
                <w:szCs w:val="20"/>
                <w:lang w:val="en-ZW"/>
              </w:rPr>
            </w:pPr>
          </w:p>
        </w:tc>
        <w:tc>
          <w:tcPr>
            <w:tcW w:w="0" w:type="auto"/>
          </w:tcPr>
          <w:p w14:paraId="5ECED042"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ishinyekwa@eprcug.org</w:t>
            </w:r>
          </w:p>
        </w:tc>
        <w:tc>
          <w:tcPr>
            <w:tcW w:w="0" w:type="auto"/>
          </w:tcPr>
          <w:p w14:paraId="3F184C3E" w14:textId="77777777" w:rsidR="00C13E20" w:rsidRPr="00C1472F" w:rsidRDefault="00C13E20" w:rsidP="00C1472F">
            <w:pPr>
              <w:spacing w:after="0" w:line="240" w:lineRule="auto"/>
              <w:rPr>
                <w:rFonts w:ascii="Arial" w:eastAsia="Calibri" w:hAnsi="Arial" w:cs="Arial"/>
                <w:sz w:val="20"/>
                <w:szCs w:val="20"/>
              </w:rPr>
            </w:pPr>
            <w:r w:rsidRPr="00C1472F">
              <w:rPr>
                <w:rFonts w:ascii="Arial" w:eastAsia="Calibri" w:hAnsi="Arial" w:cs="Arial"/>
                <w:sz w:val="20"/>
                <w:szCs w:val="20"/>
              </w:rPr>
              <w:t>Uganda</w:t>
            </w:r>
          </w:p>
        </w:tc>
      </w:tr>
    </w:tbl>
    <w:p w14:paraId="69854344" w14:textId="77777777" w:rsidR="00C13E20" w:rsidRPr="00C1472F" w:rsidRDefault="00C13E20" w:rsidP="00C1472F">
      <w:pPr>
        <w:spacing w:after="0" w:line="240" w:lineRule="auto"/>
        <w:rPr>
          <w:rFonts w:ascii="Arial" w:hAnsi="Arial" w:cs="Arial"/>
          <w:b/>
          <w:bCs/>
        </w:rPr>
      </w:pPr>
    </w:p>
    <w:p w14:paraId="3872746D" w14:textId="77777777" w:rsidR="00C13E20" w:rsidRPr="00C1472F" w:rsidRDefault="00C13E20" w:rsidP="00C1472F">
      <w:pPr>
        <w:spacing w:after="0" w:line="240" w:lineRule="auto"/>
        <w:rPr>
          <w:rFonts w:ascii="Arial" w:hAnsi="Arial" w:cs="Arial"/>
          <w:b/>
          <w:bCs/>
        </w:rPr>
      </w:pPr>
    </w:p>
    <w:p w14:paraId="19E94295" w14:textId="77777777" w:rsidR="00C13E20" w:rsidRPr="00C1472F" w:rsidRDefault="00C13E20" w:rsidP="00C13E20">
      <w:pPr>
        <w:spacing w:after="0" w:line="240" w:lineRule="auto"/>
        <w:rPr>
          <w:rFonts w:ascii="Arial" w:hAnsi="Arial" w:cs="Arial"/>
          <w:b/>
          <w:bCs/>
        </w:rPr>
      </w:pPr>
    </w:p>
    <w:p w14:paraId="24ABFE76" w14:textId="77777777" w:rsidR="00C13E20" w:rsidRPr="00C1472F" w:rsidRDefault="00C13E20" w:rsidP="00C13E20">
      <w:pPr>
        <w:spacing w:after="0" w:line="240" w:lineRule="auto"/>
        <w:rPr>
          <w:rFonts w:ascii="Arial" w:hAnsi="Arial" w:cs="Arial"/>
          <w:b/>
          <w:bCs/>
        </w:rPr>
      </w:pPr>
    </w:p>
    <w:p w14:paraId="754DAE69" w14:textId="77777777" w:rsidR="00C13E20" w:rsidRPr="00C1472F" w:rsidRDefault="00C13E20" w:rsidP="00C13E20">
      <w:pPr>
        <w:spacing w:after="0" w:line="240" w:lineRule="auto"/>
        <w:rPr>
          <w:rFonts w:ascii="Arial" w:hAnsi="Arial" w:cs="Arial"/>
          <w:b/>
          <w:bCs/>
        </w:rPr>
      </w:pPr>
    </w:p>
    <w:p w14:paraId="1A58F441" w14:textId="77777777" w:rsidR="00C13E20" w:rsidRPr="00C1472F" w:rsidRDefault="00C13E20" w:rsidP="00C13E20">
      <w:pPr>
        <w:spacing w:after="0" w:line="240" w:lineRule="auto"/>
        <w:outlineLvl w:val="0"/>
        <w:rPr>
          <w:rFonts w:ascii="Baskerville Old Face" w:hAnsi="Baskerville Old Face" w:cs="Arial"/>
          <w:b/>
          <w:color w:val="000000"/>
        </w:rPr>
      </w:pPr>
    </w:p>
    <w:sectPr w:rsidR="00C13E20" w:rsidRPr="00C1472F" w:rsidSect="004E5720">
      <w:footerReference w:type="default" r:id="rId14"/>
      <w:footerReference w:type="first" r:id="rId15"/>
      <w:pgSz w:w="12240" w:h="15840"/>
      <w:pgMar w:top="1152" w:right="1080" w:bottom="1440"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AB73" w14:textId="77777777" w:rsidR="00597960" w:rsidRDefault="00597960" w:rsidP="00551ADB">
      <w:pPr>
        <w:spacing w:after="0" w:line="240" w:lineRule="auto"/>
      </w:pPr>
      <w:r>
        <w:separator/>
      </w:r>
    </w:p>
  </w:endnote>
  <w:endnote w:type="continuationSeparator" w:id="0">
    <w:p w14:paraId="3D6E06F4" w14:textId="77777777" w:rsidR="00597960" w:rsidRDefault="00597960" w:rsidP="0055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0263" w14:textId="473F1065" w:rsidR="000B5C1E" w:rsidRPr="007671EA" w:rsidRDefault="000B5C1E" w:rsidP="007671EA">
    <w:pPr>
      <w:pStyle w:val="Footer"/>
      <w:jc w:val="center"/>
      <w:rPr>
        <w:rFonts w:ascii="Goudy Old Style" w:hAnsi="Goudy Old Style"/>
        <w:i/>
      </w:rPr>
    </w:pPr>
    <w:r w:rsidRPr="007671EA">
      <w:rPr>
        <w:rFonts w:ascii="Goudy Old Style" w:hAnsi="Goudy Old Style"/>
        <w:i/>
        <w:noProof/>
      </w:rPr>
      <w:drawing>
        <wp:anchor distT="0" distB="0" distL="114300" distR="114300" simplePos="0" relativeHeight="251659264" behindDoc="1" locked="0" layoutInCell="1" allowOverlap="1" wp14:anchorId="56049DC4" wp14:editId="78012BFA">
          <wp:simplePos x="0" y="0"/>
          <wp:positionH relativeFrom="column">
            <wp:posOffset>1589314</wp:posOffset>
          </wp:positionH>
          <wp:positionV relativeFrom="paragraph">
            <wp:posOffset>-159748</wp:posOffset>
          </wp:positionV>
          <wp:extent cx="549729" cy="549729"/>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29" cy="5497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1EA">
      <w:rPr>
        <w:rFonts w:ascii="Goudy Old Style" w:hAnsi="Goudy Old Style"/>
        <w:i/>
      </w:rPr>
      <w:t>Growing Together, for Pro</w:t>
    </w:r>
    <w:r w:rsidR="007671EA" w:rsidRPr="007671EA">
      <w:rPr>
        <w:rFonts w:ascii="Goudy Old Style" w:hAnsi="Goudy Old Style"/>
        <w:i/>
      </w:rPr>
      <w:t>sperity</w:t>
    </w:r>
  </w:p>
  <w:p w14:paraId="2A90D240" w14:textId="77777777" w:rsidR="00EC5898" w:rsidRDefault="00EC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29EA" w14:textId="5FF6BEC3" w:rsidR="00306B50" w:rsidRPr="00306B50" w:rsidRDefault="00306B50" w:rsidP="00306B50">
    <w:pPr>
      <w:pStyle w:val="Footer"/>
      <w:jc w:val="center"/>
      <w:rPr>
        <w:i/>
      </w:rPr>
    </w:pPr>
    <w:r w:rsidRPr="00306B50">
      <w:rPr>
        <w:i/>
        <w:noProof/>
      </w:rPr>
      <w:drawing>
        <wp:anchor distT="0" distB="0" distL="114300" distR="114300" simplePos="0" relativeHeight="251658240" behindDoc="1" locked="0" layoutInCell="1" allowOverlap="1" wp14:anchorId="3D9CD0DB" wp14:editId="62AB3DEC">
          <wp:simplePos x="0" y="0"/>
          <wp:positionH relativeFrom="margin">
            <wp:posOffset>1588770</wp:posOffset>
          </wp:positionH>
          <wp:positionV relativeFrom="paragraph">
            <wp:posOffset>-126819</wp:posOffset>
          </wp:positionV>
          <wp:extent cx="424180" cy="424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0">
      <w:rPr>
        <w:i/>
      </w:rPr>
      <w:ptab w:relativeTo="margin" w:alignment="center" w:leader="none"/>
    </w:r>
    <w:r w:rsidRPr="00306B50">
      <w:rPr>
        <w:rFonts w:ascii="Goudy Old Style" w:hAnsi="Goudy Old Style"/>
        <w:i/>
      </w:rPr>
      <w:t>Growing Together, for Prosperity</w:t>
    </w:r>
    <w:r w:rsidRPr="00306B50">
      <w:rPr>
        <w:rFonts w:ascii="Goudy Old Style" w:hAnsi="Goudy Old Style"/>
        <w: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9D28" w14:textId="77777777" w:rsidR="00597960" w:rsidRDefault="00597960" w:rsidP="00551ADB">
      <w:pPr>
        <w:spacing w:after="0" w:line="240" w:lineRule="auto"/>
      </w:pPr>
      <w:r>
        <w:separator/>
      </w:r>
    </w:p>
  </w:footnote>
  <w:footnote w:type="continuationSeparator" w:id="0">
    <w:p w14:paraId="362B14C1" w14:textId="77777777" w:rsidR="00597960" w:rsidRDefault="00597960" w:rsidP="00551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E8E"/>
    <w:multiLevelType w:val="hybridMultilevel"/>
    <w:tmpl w:val="75B2A856"/>
    <w:lvl w:ilvl="0" w:tplc="9D56772E">
      <w:start w:val="1"/>
      <w:numFmt w:val="bullet"/>
      <w:lvlText w:val=""/>
      <w:lvlJc w:val="left"/>
      <w:pPr>
        <w:tabs>
          <w:tab w:val="num" w:pos="624"/>
        </w:tabs>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9C7"/>
    <w:multiLevelType w:val="hybridMultilevel"/>
    <w:tmpl w:val="FD86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2D52"/>
    <w:multiLevelType w:val="hybridMultilevel"/>
    <w:tmpl w:val="A9DA80EC"/>
    <w:lvl w:ilvl="0" w:tplc="9D56772E">
      <w:start w:val="1"/>
      <w:numFmt w:val="bullet"/>
      <w:lvlText w:val=""/>
      <w:lvlJc w:val="left"/>
      <w:pPr>
        <w:tabs>
          <w:tab w:val="num" w:pos="624"/>
        </w:tabs>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2D6C"/>
    <w:multiLevelType w:val="hybridMultilevel"/>
    <w:tmpl w:val="8BAA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0" w:hanging="360"/>
      </w:pPr>
      <w:rPr>
        <w:rFonts w:ascii="Courier New" w:hAnsi="Courier New" w:hint="default"/>
      </w:rPr>
    </w:lvl>
    <w:lvl w:ilvl="2" w:tplc="04090005" w:tentative="1">
      <w:start w:val="1"/>
      <w:numFmt w:val="bullet"/>
      <w:lvlText w:val=""/>
      <w:lvlJc w:val="left"/>
      <w:pPr>
        <w:ind w:left="470" w:hanging="360"/>
      </w:pPr>
      <w:rPr>
        <w:rFonts w:ascii="Wingdings" w:hAnsi="Wingdings" w:hint="default"/>
      </w:rPr>
    </w:lvl>
    <w:lvl w:ilvl="3" w:tplc="04090001" w:tentative="1">
      <w:start w:val="1"/>
      <w:numFmt w:val="bullet"/>
      <w:lvlText w:val=""/>
      <w:lvlJc w:val="left"/>
      <w:pPr>
        <w:ind w:left="1190" w:hanging="360"/>
      </w:pPr>
      <w:rPr>
        <w:rFonts w:ascii="Symbol" w:hAnsi="Symbol" w:hint="default"/>
      </w:rPr>
    </w:lvl>
    <w:lvl w:ilvl="4" w:tplc="04090003" w:tentative="1">
      <w:start w:val="1"/>
      <w:numFmt w:val="bullet"/>
      <w:lvlText w:val="o"/>
      <w:lvlJc w:val="left"/>
      <w:pPr>
        <w:ind w:left="1910" w:hanging="360"/>
      </w:pPr>
      <w:rPr>
        <w:rFonts w:ascii="Courier New" w:hAnsi="Courier New" w:hint="default"/>
      </w:rPr>
    </w:lvl>
    <w:lvl w:ilvl="5" w:tplc="04090005" w:tentative="1">
      <w:start w:val="1"/>
      <w:numFmt w:val="bullet"/>
      <w:lvlText w:val=""/>
      <w:lvlJc w:val="left"/>
      <w:pPr>
        <w:ind w:left="2630" w:hanging="360"/>
      </w:pPr>
      <w:rPr>
        <w:rFonts w:ascii="Wingdings" w:hAnsi="Wingdings" w:hint="default"/>
      </w:rPr>
    </w:lvl>
    <w:lvl w:ilvl="6" w:tplc="04090001" w:tentative="1">
      <w:start w:val="1"/>
      <w:numFmt w:val="bullet"/>
      <w:lvlText w:val=""/>
      <w:lvlJc w:val="left"/>
      <w:pPr>
        <w:ind w:left="3350" w:hanging="360"/>
      </w:pPr>
      <w:rPr>
        <w:rFonts w:ascii="Symbol" w:hAnsi="Symbol" w:hint="default"/>
      </w:rPr>
    </w:lvl>
    <w:lvl w:ilvl="7" w:tplc="04090003" w:tentative="1">
      <w:start w:val="1"/>
      <w:numFmt w:val="bullet"/>
      <w:lvlText w:val="o"/>
      <w:lvlJc w:val="left"/>
      <w:pPr>
        <w:ind w:left="4070" w:hanging="360"/>
      </w:pPr>
      <w:rPr>
        <w:rFonts w:ascii="Courier New" w:hAnsi="Courier New" w:hint="default"/>
      </w:rPr>
    </w:lvl>
    <w:lvl w:ilvl="8" w:tplc="04090005" w:tentative="1">
      <w:start w:val="1"/>
      <w:numFmt w:val="bullet"/>
      <w:lvlText w:val=""/>
      <w:lvlJc w:val="left"/>
      <w:pPr>
        <w:ind w:left="4790" w:hanging="360"/>
      </w:pPr>
      <w:rPr>
        <w:rFonts w:ascii="Wingdings" w:hAnsi="Wingdings" w:hint="default"/>
      </w:rPr>
    </w:lvl>
  </w:abstractNum>
  <w:abstractNum w:abstractNumId="4" w15:restartNumberingAfterBreak="0">
    <w:nsid w:val="0ED41AB0"/>
    <w:multiLevelType w:val="hybridMultilevel"/>
    <w:tmpl w:val="F0966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5746ED"/>
    <w:multiLevelType w:val="hybridMultilevel"/>
    <w:tmpl w:val="859048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2A059B"/>
    <w:multiLevelType w:val="hybridMultilevel"/>
    <w:tmpl w:val="D1787AB0"/>
    <w:lvl w:ilvl="0" w:tplc="EA742B70">
      <w:start w:val="1"/>
      <w:numFmt w:val="decimal"/>
      <w:lvlText w:val="%1."/>
      <w:lvlJc w:val="left"/>
      <w:pPr>
        <w:ind w:left="5040" w:hanging="360"/>
      </w:pPr>
      <w:rPr>
        <w:rFonts w:ascii="Arial" w:hAnsi="Arial" w:hint="default"/>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47AF2"/>
    <w:multiLevelType w:val="hybridMultilevel"/>
    <w:tmpl w:val="CBC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8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C1ECF"/>
    <w:multiLevelType w:val="hybridMultilevel"/>
    <w:tmpl w:val="41C699D8"/>
    <w:lvl w:ilvl="0" w:tplc="58A40286">
      <w:start w:val="1"/>
      <w:numFmt w:val="bullet"/>
      <w:lvlText w:val=""/>
      <w:lvlJc w:val="left"/>
      <w:pPr>
        <w:tabs>
          <w:tab w:val="num" w:pos="1344"/>
        </w:tabs>
        <w:ind w:left="1440" w:hanging="8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6505"/>
    <w:multiLevelType w:val="hybridMultilevel"/>
    <w:tmpl w:val="51B2A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A5DD9"/>
    <w:multiLevelType w:val="hybridMultilevel"/>
    <w:tmpl w:val="2AA0AC64"/>
    <w:lvl w:ilvl="0" w:tplc="B4BC4088">
      <w:start w:val="9"/>
      <w:numFmt w:val="bullet"/>
      <w:lvlText w:val="-"/>
      <w:lvlJc w:val="left"/>
      <w:pPr>
        <w:ind w:left="2835" w:hanging="360"/>
      </w:pPr>
      <w:rPr>
        <w:rFonts w:ascii="Arial" w:eastAsia="Times New Roman" w:hAnsi="Arial" w:hint="default"/>
      </w:rPr>
    </w:lvl>
    <w:lvl w:ilvl="1" w:tplc="1C090003">
      <w:start w:val="1"/>
      <w:numFmt w:val="bullet"/>
      <w:lvlText w:val="o"/>
      <w:lvlJc w:val="left"/>
      <w:pPr>
        <w:ind w:left="3555" w:hanging="360"/>
      </w:pPr>
      <w:rPr>
        <w:rFonts w:ascii="Courier New" w:hAnsi="Courier New" w:cs="Courier New" w:hint="default"/>
      </w:rPr>
    </w:lvl>
    <w:lvl w:ilvl="2" w:tplc="1C090005">
      <w:start w:val="1"/>
      <w:numFmt w:val="bullet"/>
      <w:lvlText w:val=""/>
      <w:lvlJc w:val="left"/>
      <w:pPr>
        <w:ind w:left="4275" w:hanging="360"/>
      </w:pPr>
      <w:rPr>
        <w:rFonts w:ascii="Wingdings" w:hAnsi="Wingdings" w:cs="Wingdings" w:hint="default"/>
      </w:rPr>
    </w:lvl>
    <w:lvl w:ilvl="3" w:tplc="1C090001">
      <w:start w:val="1"/>
      <w:numFmt w:val="bullet"/>
      <w:lvlText w:val=""/>
      <w:lvlJc w:val="left"/>
      <w:pPr>
        <w:ind w:left="4995" w:hanging="360"/>
      </w:pPr>
      <w:rPr>
        <w:rFonts w:ascii="Symbol" w:hAnsi="Symbol" w:cs="Symbol" w:hint="default"/>
      </w:rPr>
    </w:lvl>
    <w:lvl w:ilvl="4" w:tplc="1C090003">
      <w:start w:val="1"/>
      <w:numFmt w:val="bullet"/>
      <w:lvlText w:val="o"/>
      <w:lvlJc w:val="left"/>
      <w:pPr>
        <w:ind w:left="5715" w:hanging="360"/>
      </w:pPr>
      <w:rPr>
        <w:rFonts w:ascii="Courier New" w:hAnsi="Courier New" w:cs="Courier New" w:hint="default"/>
      </w:rPr>
    </w:lvl>
    <w:lvl w:ilvl="5" w:tplc="1C090005">
      <w:start w:val="1"/>
      <w:numFmt w:val="bullet"/>
      <w:lvlText w:val=""/>
      <w:lvlJc w:val="left"/>
      <w:pPr>
        <w:ind w:left="6435" w:hanging="360"/>
      </w:pPr>
      <w:rPr>
        <w:rFonts w:ascii="Wingdings" w:hAnsi="Wingdings" w:cs="Wingdings" w:hint="default"/>
      </w:rPr>
    </w:lvl>
    <w:lvl w:ilvl="6" w:tplc="1C090001">
      <w:start w:val="1"/>
      <w:numFmt w:val="bullet"/>
      <w:lvlText w:val=""/>
      <w:lvlJc w:val="left"/>
      <w:pPr>
        <w:ind w:left="7155" w:hanging="360"/>
      </w:pPr>
      <w:rPr>
        <w:rFonts w:ascii="Symbol" w:hAnsi="Symbol" w:cs="Symbol" w:hint="default"/>
      </w:rPr>
    </w:lvl>
    <w:lvl w:ilvl="7" w:tplc="1C090003">
      <w:start w:val="1"/>
      <w:numFmt w:val="bullet"/>
      <w:lvlText w:val="o"/>
      <w:lvlJc w:val="left"/>
      <w:pPr>
        <w:ind w:left="7875" w:hanging="360"/>
      </w:pPr>
      <w:rPr>
        <w:rFonts w:ascii="Courier New" w:hAnsi="Courier New" w:cs="Courier New" w:hint="default"/>
      </w:rPr>
    </w:lvl>
    <w:lvl w:ilvl="8" w:tplc="1C090005">
      <w:start w:val="1"/>
      <w:numFmt w:val="bullet"/>
      <w:lvlText w:val=""/>
      <w:lvlJc w:val="left"/>
      <w:pPr>
        <w:ind w:left="8595" w:hanging="360"/>
      </w:pPr>
      <w:rPr>
        <w:rFonts w:ascii="Wingdings" w:hAnsi="Wingdings" w:cs="Wingdings" w:hint="default"/>
      </w:rPr>
    </w:lvl>
  </w:abstractNum>
  <w:abstractNum w:abstractNumId="12" w15:restartNumberingAfterBreak="0">
    <w:nsid w:val="308A6933"/>
    <w:multiLevelType w:val="hybridMultilevel"/>
    <w:tmpl w:val="61D80D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E02C79"/>
    <w:multiLevelType w:val="hybridMultilevel"/>
    <w:tmpl w:val="C554C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D1550"/>
    <w:multiLevelType w:val="hybridMultilevel"/>
    <w:tmpl w:val="DBAC0F56"/>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5" w15:restartNumberingAfterBreak="0">
    <w:nsid w:val="3B3C29AB"/>
    <w:multiLevelType w:val="hybridMultilevel"/>
    <w:tmpl w:val="8A66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F7F2D"/>
    <w:multiLevelType w:val="hybridMultilevel"/>
    <w:tmpl w:val="F5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F0122"/>
    <w:multiLevelType w:val="hybridMultilevel"/>
    <w:tmpl w:val="4A24BF7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945D18"/>
    <w:multiLevelType w:val="hybridMultilevel"/>
    <w:tmpl w:val="19DC4E34"/>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C0648DE"/>
    <w:multiLevelType w:val="hybridMultilevel"/>
    <w:tmpl w:val="871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8114E"/>
    <w:multiLevelType w:val="hybridMultilevel"/>
    <w:tmpl w:val="9FB804A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F2E13"/>
    <w:multiLevelType w:val="hybridMultilevel"/>
    <w:tmpl w:val="9184F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604A47"/>
    <w:multiLevelType w:val="hybridMultilevel"/>
    <w:tmpl w:val="6F3E1F70"/>
    <w:lvl w:ilvl="0" w:tplc="04090001">
      <w:start w:val="1"/>
      <w:numFmt w:val="bullet"/>
      <w:lvlText w:val=""/>
      <w:lvlJc w:val="left"/>
      <w:pPr>
        <w:ind w:left="2695" w:hanging="360"/>
      </w:pPr>
      <w:rPr>
        <w:rFonts w:ascii="Symbol" w:hAnsi="Symbol" w:hint="default"/>
      </w:rPr>
    </w:lvl>
    <w:lvl w:ilvl="1" w:tplc="04090003" w:tentative="1">
      <w:start w:val="1"/>
      <w:numFmt w:val="bullet"/>
      <w:lvlText w:val="o"/>
      <w:lvlJc w:val="left"/>
      <w:pPr>
        <w:ind w:left="3415" w:hanging="360"/>
      </w:pPr>
      <w:rPr>
        <w:rFonts w:ascii="Courier New" w:hAnsi="Courier New" w:hint="default"/>
      </w:rPr>
    </w:lvl>
    <w:lvl w:ilvl="2" w:tplc="04090005" w:tentative="1">
      <w:start w:val="1"/>
      <w:numFmt w:val="bullet"/>
      <w:lvlText w:val=""/>
      <w:lvlJc w:val="left"/>
      <w:pPr>
        <w:ind w:left="4135" w:hanging="360"/>
      </w:pPr>
      <w:rPr>
        <w:rFonts w:ascii="Wingdings" w:hAnsi="Wingdings" w:hint="default"/>
      </w:rPr>
    </w:lvl>
    <w:lvl w:ilvl="3" w:tplc="04090001" w:tentative="1">
      <w:start w:val="1"/>
      <w:numFmt w:val="bullet"/>
      <w:lvlText w:val=""/>
      <w:lvlJc w:val="left"/>
      <w:pPr>
        <w:ind w:left="4855" w:hanging="360"/>
      </w:pPr>
      <w:rPr>
        <w:rFonts w:ascii="Symbol" w:hAnsi="Symbol" w:hint="default"/>
      </w:rPr>
    </w:lvl>
    <w:lvl w:ilvl="4" w:tplc="04090003" w:tentative="1">
      <w:start w:val="1"/>
      <w:numFmt w:val="bullet"/>
      <w:lvlText w:val="o"/>
      <w:lvlJc w:val="left"/>
      <w:pPr>
        <w:ind w:left="5575" w:hanging="360"/>
      </w:pPr>
      <w:rPr>
        <w:rFonts w:ascii="Courier New" w:hAnsi="Courier New" w:hint="default"/>
      </w:rPr>
    </w:lvl>
    <w:lvl w:ilvl="5" w:tplc="04090005" w:tentative="1">
      <w:start w:val="1"/>
      <w:numFmt w:val="bullet"/>
      <w:lvlText w:val=""/>
      <w:lvlJc w:val="left"/>
      <w:pPr>
        <w:ind w:left="6295" w:hanging="360"/>
      </w:pPr>
      <w:rPr>
        <w:rFonts w:ascii="Wingdings" w:hAnsi="Wingdings" w:hint="default"/>
      </w:rPr>
    </w:lvl>
    <w:lvl w:ilvl="6" w:tplc="04090001" w:tentative="1">
      <w:start w:val="1"/>
      <w:numFmt w:val="bullet"/>
      <w:lvlText w:val=""/>
      <w:lvlJc w:val="left"/>
      <w:pPr>
        <w:ind w:left="7015" w:hanging="360"/>
      </w:pPr>
      <w:rPr>
        <w:rFonts w:ascii="Symbol" w:hAnsi="Symbol" w:hint="default"/>
      </w:rPr>
    </w:lvl>
    <w:lvl w:ilvl="7" w:tplc="04090003" w:tentative="1">
      <w:start w:val="1"/>
      <w:numFmt w:val="bullet"/>
      <w:lvlText w:val="o"/>
      <w:lvlJc w:val="left"/>
      <w:pPr>
        <w:ind w:left="7735" w:hanging="360"/>
      </w:pPr>
      <w:rPr>
        <w:rFonts w:ascii="Courier New" w:hAnsi="Courier New" w:hint="default"/>
      </w:rPr>
    </w:lvl>
    <w:lvl w:ilvl="8" w:tplc="04090005" w:tentative="1">
      <w:start w:val="1"/>
      <w:numFmt w:val="bullet"/>
      <w:lvlText w:val=""/>
      <w:lvlJc w:val="left"/>
      <w:pPr>
        <w:ind w:left="8455" w:hanging="360"/>
      </w:pPr>
      <w:rPr>
        <w:rFonts w:ascii="Wingdings" w:hAnsi="Wingdings" w:hint="default"/>
      </w:rPr>
    </w:lvl>
  </w:abstractNum>
  <w:abstractNum w:abstractNumId="23" w15:restartNumberingAfterBreak="0">
    <w:nsid w:val="58CA7A64"/>
    <w:multiLevelType w:val="hybridMultilevel"/>
    <w:tmpl w:val="5E1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25E8"/>
    <w:multiLevelType w:val="hybridMultilevel"/>
    <w:tmpl w:val="E244F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E3528"/>
    <w:multiLevelType w:val="multilevel"/>
    <w:tmpl w:val="E61A1FE4"/>
    <w:lvl w:ilvl="0">
      <w:start w:val="8"/>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27591D"/>
    <w:multiLevelType w:val="hybridMultilevel"/>
    <w:tmpl w:val="FA02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8325B"/>
    <w:multiLevelType w:val="hybridMultilevel"/>
    <w:tmpl w:val="1E72808A"/>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93E2A24"/>
    <w:multiLevelType w:val="multilevel"/>
    <w:tmpl w:val="AF14325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4A28A6"/>
    <w:multiLevelType w:val="hybridMultilevel"/>
    <w:tmpl w:val="5AC6D958"/>
    <w:lvl w:ilvl="0" w:tplc="9D56772E">
      <w:start w:val="1"/>
      <w:numFmt w:val="bullet"/>
      <w:lvlText w:val=""/>
      <w:lvlJc w:val="left"/>
      <w:pPr>
        <w:tabs>
          <w:tab w:val="num" w:pos="624"/>
        </w:tabs>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00E7F"/>
    <w:multiLevelType w:val="hybridMultilevel"/>
    <w:tmpl w:val="9A14617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5B44F6E"/>
    <w:multiLevelType w:val="hybridMultilevel"/>
    <w:tmpl w:val="06AC64CC"/>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
  </w:num>
  <w:num w:numId="4">
    <w:abstractNumId w:val="21"/>
  </w:num>
  <w:num w:numId="5">
    <w:abstractNumId w:val="14"/>
  </w:num>
  <w:num w:numId="6">
    <w:abstractNumId w:val="22"/>
  </w:num>
  <w:num w:numId="7">
    <w:abstractNumId w:val="24"/>
  </w:num>
  <w:num w:numId="8">
    <w:abstractNumId w:val="3"/>
  </w:num>
  <w:num w:numId="9">
    <w:abstractNumId w:val="2"/>
  </w:num>
  <w:num w:numId="10">
    <w:abstractNumId w:val="29"/>
  </w:num>
  <w:num w:numId="11">
    <w:abstractNumId w:val="0"/>
  </w:num>
  <w:num w:numId="12">
    <w:abstractNumId w:val="9"/>
  </w:num>
  <w:num w:numId="13">
    <w:abstractNumId w:val="23"/>
  </w:num>
  <w:num w:numId="14">
    <w:abstractNumId w:val="12"/>
  </w:num>
  <w:num w:numId="15">
    <w:abstractNumId w:val="26"/>
  </w:num>
  <w:num w:numId="16">
    <w:abstractNumId w:val="19"/>
  </w:num>
  <w:num w:numId="17">
    <w:abstractNumId w:val="10"/>
  </w:num>
  <w:num w:numId="18">
    <w:abstractNumId w:val="15"/>
  </w:num>
  <w:num w:numId="19">
    <w:abstractNumId w:val="16"/>
  </w:num>
  <w:num w:numId="20">
    <w:abstractNumId w:val="13"/>
  </w:num>
  <w:num w:numId="21">
    <w:abstractNumId w:val="1"/>
  </w:num>
  <w:num w:numId="22">
    <w:abstractNumId w:val="7"/>
  </w:num>
  <w:num w:numId="23">
    <w:abstractNumId w:val="17"/>
  </w:num>
  <w:num w:numId="24">
    <w:abstractNumId w:val="31"/>
  </w:num>
  <w:num w:numId="25">
    <w:abstractNumId w:val="18"/>
  </w:num>
  <w:num w:numId="26">
    <w:abstractNumId w:val="30"/>
  </w:num>
  <w:num w:numId="27">
    <w:abstractNumId w:val="27"/>
  </w:num>
  <w:num w:numId="28">
    <w:abstractNumId w:val="5"/>
  </w:num>
  <w:num w:numId="29">
    <w:abstractNumId w:val="6"/>
  </w:num>
  <w:num w:numId="30">
    <w:abstractNumId w:val="20"/>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F3"/>
    <w:rsid w:val="000014B1"/>
    <w:rsid w:val="00004BAD"/>
    <w:rsid w:val="0001076C"/>
    <w:rsid w:val="00013AC2"/>
    <w:rsid w:val="00014D5E"/>
    <w:rsid w:val="000302A5"/>
    <w:rsid w:val="00034912"/>
    <w:rsid w:val="00042210"/>
    <w:rsid w:val="00042D5A"/>
    <w:rsid w:val="0004417D"/>
    <w:rsid w:val="00051E2F"/>
    <w:rsid w:val="000524DA"/>
    <w:rsid w:val="0007005F"/>
    <w:rsid w:val="00072014"/>
    <w:rsid w:val="00072FCF"/>
    <w:rsid w:val="00075B73"/>
    <w:rsid w:val="00085F2F"/>
    <w:rsid w:val="0008686F"/>
    <w:rsid w:val="000A03CA"/>
    <w:rsid w:val="000A41B5"/>
    <w:rsid w:val="000A5E9B"/>
    <w:rsid w:val="000A6564"/>
    <w:rsid w:val="000B0ED8"/>
    <w:rsid w:val="000B5C1E"/>
    <w:rsid w:val="000C01EF"/>
    <w:rsid w:val="000C259A"/>
    <w:rsid w:val="000C37EE"/>
    <w:rsid w:val="000C40EC"/>
    <w:rsid w:val="000C412C"/>
    <w:rsid w:val="000C6DC4"/>
    <w:rsid w:val="000E433C"/>
    <w:rsid w:val="000E7688"/>
    <w:rsid w:val="000F09EE"/>
    <w:rsid w:val="000F610C"/>
    <w:rsid w:val="000F7C0D"/>
    <w:rsid w:val="00100C75"/>
    <w:rsid w:val="001027B2"/>
    <w:rsid w:val="0010307E"/>
    <w:rsid w:val="00105059"/>
    <w:rsid w:val="001054DC"/>
    <w:rsid w:val="00105669"/>
    <w:rsid w:val="00123A16"/>
    <w:rsid w:val="001410A7"/>
    <w:rsid w:val="001457C3"/>
    <w:rsid w:val="001473F5"/>
    <w:rsid w:val="001624C8"/>
    <w:rsid w:val="001631BE"/>
    <w:rsid w:val="001633FC"/>
    <w:rsid w:val="001638F7"/>
    <w:rsid w:val="00163992"/>
    <w:rsid w:val="00167B79"/>
    <w:rsid w:val="00186E73"/>
    <w:rsid w:val="001900F7"/>
    <w:rsid w:val="00191DA7"/>
    <w:rsid w:val="001A1FE1"/>
    <w:rsid w:val="001A25DE"/>
    <w:rsid w:val="001A3920"/>
    <w:rsid w:val="001A6957"/>
    <w:rsid w:val="001B3A82"/>
    <w:rsid w:val="001B653B"/>
    <w:rsid w:val="001C7BD8"/>
    <w:rsid w:val="001D1F68"/>
    <w:rsid w:val="001D2C3A"/>
    <w:rsid w:val="001E4B65"/>
    <w:rsid w:val="001E6FAF"/>
    <w:rsid w:val="001E7B79"/>
    <w:rsid w:val="00222283"/>
    <w:rsid w:val="002237CD"/>
    <w:rsid w:val="00224B3F"/>
    <w:rsid w:val="002253DE"/>
    <w:rsid w:val="00254F67"/>
    <w:rsid w:val="002647CC"/>
    <w:rsid w:val="00264B67"/>
    <w:rsid w:val="00266B8C"/>
    <w:rsid w:val="002672B0"/>
    <w:rsid w:val="0027048A"/>
    <w:rsid w:val="002805DA"/>
    <w:rsid w:val="002816F7"/>
    <w:rsid w:val="00297654"/>
    <w:rsid w:val="002A326C"/>
    <w:rsid w:val="002A4890"/>
    <w:rsid w:val="002B5E8F"/>
    <w:rsid w:val="002C3F1C"/>
    <w:rsid w:val="002E2D8C"/>
    <w:rsid w:val="002E7FD5"/>
    <w:rsid w:val="00303DE7"/>
    <w:rsid w:val="00306B50"/>
    <w:rsid w:val="00307121"/>
    <w:rsid w:val="003115C3"/>
    <w:rsid w:val="0031606F"/>
    <w:rsid w:val="0031712C"/>
    <w:rsid w:val="003221D0"/>
    <w:rsid w:val="00324D8D"/>
    <w:rsid w:val="003334BF"/>
    <w:rsid w:val="00335185"/>
    <w:rsid w:val="0033608A"/>
    <w:rsid w:val="0034189C"/>
    <w:rsid w:val="00350B0A"/>
    <w:rsid w:val="00350E47"/>
    <w:rsid w:val="003548FA"/>
    <w:rsid w:val="00357875"/>
    <w:rsid w:val="00361CE9"/>
    <w:rsid w:val="003655A0"/>
    <w:rsid w:val="0037297E"/>
    <w:rsid w:val="00375E9B"/>
    <w:rsid w:val="00382616"/>
    <w:rsid w:val="00395510"/>
    <w:rsid w:val="003966B4"/>
    <w:rsid w:val="00397204"/>
    <w:rsid w:val="003A2510"/>
    <w:rsid w:val="003B03F5"/>
    <w:rsid w:val="003C0CFA"/>
    <w:rsid w:val="003C12D8"/>
    <w:rsid w:val="003C6CEB"/>
    <w:rsid w:val="003D3619"/>
    <w:rsid w:val="003D3F34"/>
    <w:rsid w:val="003D536B"/>
    <w:rsid w:val="003E748A"/>
    <w:rsid w:val="00403932"/>
    <w:rsid w:val="00410307"/>
    <w:rsid w:val="00413E45"/>
    <w:rsid w:val="00434203"/>
    <w:rsid w:val="004342B3"/>
    <w:rsid w:val="0044607D"/>
    <w:rsid w:val="0045176F"/>
    <w:rsid w:val="00465A64"/>
    <w:rsid w:val="004673C6"/>
    <w:rsid w:val="00470754"/>
    <w:rsid w:val="004719D9"/>
    <w:rsid w:val="004801C2"/>
    <w:rsid w:val="0048030A"/>
    <w:rsid w:val="004832FE"/>
    <w:rsid w:val="00494AF3"/>
    <w:rsid w:val="004A01C2"/>
    <w:rsid w:val="004A0E68"/>
    <w:rsid w:val="004B10F5"/>
    <w:rsid w:val="004B4621"/>
    <w:rsid w:val="004D5DB1"/>
    <w:rsid w:val="004D72B5"/>
    <w:rsid w:val="004E5720"/>
    <w:rsid w:val="004E5FD1"/>
    <w:rsid w:val="004F4E4C"/>
    <w:rsid w:val="00503869"/>
    <w:rsid w:val="00506ABD"/>
    <w:rsid w:val="0053224E"/>
    <w:rsid w:val="005364D5"/>
    <w:rsid w:val="00543F5C"/>
    <w:rsid w:val="00547A06"/>
    <w:rsid w:val="00551ADB"/>
    <w:rsid w:val="005621AF"/>
    <w:rsid w:val="005631FB"/>
    <w:rsid w:val="00577650"/>
    <w:rsid w:val="0058508C"/>
    <w:rsid w:val="00585865"/>
    <w:rsid w:val="0059095C"/>
    <w:rsid w:val="005921FC"/>
    <w:rsid w:val="00597960"/>
    <w:rsid w:val="005A02E8"/>
    <w:rsid w:val="005A53DF"/>
    <w:rsid w:val="005C66F0"/>
    <w:rsid w:val="005C6A34"/>
    <w:rsid w:val="005C7AEB"/>
    <w:rsid w:val="005D57B2"/>
    <w:rsid w:val="005D5BF0"/>
    <w:rsid w:val="005D6351"/>
    <w:rsid w:val="005E3FBB"/>
    <w:rsid w:val="005E640A"/>
    <w:rsid w:val="005E7D07"/>
    <w:rsid w:val="005F087C"/>
    <w:rsid w:val="005F132B"/>
    <w:rsid w:val="005F32D1"/>
    <w:rsid w:val="00602373"/>
    <w:rsid w:val="00605CF8"/>
    <w:rsid w:val="006062C0"/>
    <w:rsid w:val="00607390"/>
    <w:rsid w:val="0062495B"/>
    <w:rsid w:val="00647473"/>
    <w:rsid w:val="00653938"/>
    <w:rsid w:val="006548E2"/>
    <w:rsid w:val="00661D00"/>
    <w:rsid w:val="00673838"/>
    <w:rsid w:val="00681914"/>
    <w:rsid w:val="006850FE"/>
    <w:rsid w:val="0068740B"/>
    <w:rsid w:val="00693E3D"/>
    <w:rsid w:val="00695722"/>
    <w:rsid w:val="006A002C"/>
    <w:rsid w:val="006A2593"/>
    <w:rsid w:val="006B3944"/>
    <w:rsid w:val="006B7D3F"/>
    <w:rsid w:val="006C08E6"/>
    <w:rsid w:val="006C0E15"/>
    <w:rsid w:val="006C54B5"/>
    <w:rsid w:val="006D0201"/>
    <w:rsid w:val="006D2E65"/>
    <w:rsid w:val="006D74B0"/>
    <w:rsid w:val="006E2539"/>
    <w:rsid w:val="006E3E80"/>
    <w:rsid w:val="006E4A74"/>
    <w:rsid w:val="006F6770"/>
    <w:rsid w:val="00702FDC"/>
    <w:rsid w:val="0071267A"/>
    <w:rsid w:val="00724037"/>
    <w:rsid w:val="0072651F"/>
    <w:rsid w:val="00733F7F"/>
    <w:rsid w:val="00737C4F"/>
    <w:rsid w:val="007455A3"/>
    <w:rsid w:val="00755B08"/>
    <w:rsid w:val="00765BFF"/>
    <w:rsid w:val="007671EA"/>
    <w:rsid w:val="00770F6F"/>
    <w:rsid w:val="00785A0F"/>
    <w:rsid w:val="00791A7B"/>
    <w:rsid w:val="007946FF"/>
    <w:rsid w:val="0079549B"/>
    <w:rsid w:val="007966BF"/>
    <w:rsid w:val="007B63CA"/>
    <w:rsid w:val="007C694E"/>
    <w:rsid w:val="007D0482"/>
    <w:rsid w:val="007D1083"/>
    <w:rsid w:val="007E40A9"/>
    <w:rsid w:val="007E4760"/>
    <w:rsid w:val="007E6360"/>
    <w:rsid w:val="007E71DA"/>
    <w:rsid w:val="007E756C"/>
    <w:rsid w:val="007F48AB"/>
    <w:rsid w:val="007F6AA4"/>
    <w:rsid w:val="008037A7"/>
    <w:rsid w:val="008047E6"/>
    <w:rsid w:val="00805699"/>
    <w:rsid w:val="00817DF5"/>
    <w:rsid w:val="00821A0E"/>
    <w:rsid w:val="0082332A"/>
    <w:rsid w:val="00827B5F"/>
    <w:rsid w:val="00833F7C"/>
    <w:rsid w:val="00833FA1"/>
    <w:rsid w:val="00836E12"/>
    <w:rsid w:val="0084066D"/>
    <w:rsid w:val="00852D30"/>
    <w:rsid w:val="00854586"/>
    <w:rsid w:val="008606E9"/>
    <w:rsid w:val="00865EA3"/>
    <w:rsid w:val="008701DE"/>
    <w:rsid w:val="00876AE1"/>
    <w:rsid w:val="0088609E"/>
    <w:rsid w:val="00886FD3"/>
    <w:rsid w:val="00890E00"/>
    <w:rsid w:val="00891D10"/>
    <w:rsid w:val="00894B5C"/>
    <w:rsid w:val="00897520"/>
    <w:rsid w:val="00897F5D"/>
    <w:rsid w:val="008A1EE4"/>
    <w:rsid w:val="008B2B97"/>
    <w:rsid w:val="008B596D"/>
    <w:rsid w:val="008C5949"/>
    <w:rsid w:val="008C5E9A"/>
    <w:rsid w:val="008C70C2"/>
    <w:rsid w:val="008D2CD0"/>
    <w:rsid w:val="008E5753"/>
    <w:rsid w:val="008E71EB"/>
    <w:rsid w:val="008E7539"/>
    <w:rsid w:val="008F00A5"/>
    <w:rsid w:val="008F0273"/>
    <w:rsid w:val="008F24E8"/>
    <w:rsid w:val="008F67BC"/>
    <w:rsid w:val="009036D1"/>
    <w:rsid w:val="009045C0"/>
    <w:rsid w:val="00910D3A"/>
    <w:rsid w:val="00916930"/>
    <w:rsid w:val="00927AF4"/>
    <w:rsid w:val="009332F8"/>
    <w:rsid w:val="00936F20"/>
    <w:rsid w:val="00941952"/>
    <w:rsid w:val="00943D91"/>
    <w:rsid w:val="00956C2D"/>
    <w:rsid w:val="009572EC"/>
    <w:rsid w:val="009710EA"/>
    <w:rsid w:val="0097587B"/>
    <w:rsid w:val="00975DAC"/>
    <w:rsid w:val="009767E4"/>
    <w:rsid w:val="00983ECE"/>
    <w:rsid w:val="00992E70"/>
    <w:rsid w:val="00995676"/>
    <w:rsid w:val="009957D9"/>
    <w:rsid w:val="009975CB"/>
    <w:rsid w:val="009A6232"/>
    <w:rsid w:val="009B05A4"/>
    <w:rsid w:val="009B2419"/>
    <w:rsid w:val="009C05FC"/>
    <w:rsid w:val="009D1407"/>
    <w:rsid w:val="009D70BC"/>
    <w:rsid w:val="009E3057"/>
    <w:rsid w:val="009E6BE3"/>
    <w:rsid w:val="009F10B3"/>
    <w:rsid w:val="00A14795"/>
    <w:rsid w:val="00A16193"/>
    <w:rsid w:val="00A2346B"/>
    <w:rsid w:val="00A26723"/>
    <w:rsid w:val="00A27F20"/>
    <w:rsid w:val="00A31EC6"/>
    <w:rsid w:val="00A42345"/>
    <w:rsid w:val="00A602F9"/>
    <w:rsid w:val="00A62B6A"/>
    <w:rsid w:val="00A73ABD"/>
    <w:rsid w:val="00A85F77"/>
    <w:rsid w:val="00A969AD"/>
    <w:rsid w:val="00AA0781"/>
    <w:rsid w:val="00AB6D82"/>
    <w:rsid w:val="00AC3594"/>
    <w:rsid w:val="00AC616F"/>
    <w:rsid w:val="00AC7C47"/>
    <w:rsid w:val="00AE090E"/>
    <w:rsid w:val="00AE3590"/>
    <w:rsid w:val="00AE58B6"/>
    <w:rsid w:val="00AF1936"/>
    <w:rsid w:val="00B05D20"/>
    <w:rsid w:val="00B10465"/>
    <w:rsid w:val="00B12512"/>
    <w:rsid w:val="00B15BAB"/>
    <w:rsid w:val="00B24F63"/>
    <w:rsid w:val="00B27675"/>
    <w:rsid w:val="00B32B22"/>
    <w:rsid w:val="00B40776"/>
    <w:rsid w:val="00B50048"/>
    <w:rsid w:val="00B50618"/>
    <w:rsid w:val="00B51465"/>
    <w:rsid w:val="00B60274"/>
    <w:rsid w:val="00B60AB0"/>
    <w:rsid w:val="00B623DF"/>
    <w:rsid w:val="00B66CBA"/>
    <w:rsid w:val="00B71D3E"/>
    <w:rsid w:val="00B77A6C"/>
    <w:rsid w:val="00B93E4C"/>
    <w:rsid w:val="00BA10B0"/>
    <w:rsid w:val="00BA33BE"/>
    <w:rsid w:val="00BB0317"/>
    <w:rsid w:val="00BB0775"/>
    <w:rsid w:val="00BB423D"/>
    <w:rsid w:val="00BC0F95"/>
    <w:rsid w:val="00BC5776"/>
    <w:rsid w:val="00BC5E75"/>
    <w:rsid w:val="00BC6475"/>
    <w:rsid w:val="00BD1D91"/>
    <w:rsid w:val="00BD68AD"/>
    <w:rsid w:val="00BE66EA"/>
    <w:rsid w:val="00C13716"/>
    <w:rsid w:val="00C13E20"/>
    <w:rsid w:val="00C1472F"/>
    <w:rsid w:val="00C14770"/>
    <w:rsid w:val="00C27F0A"/>
    <w:rsid w:val="00C31409"/>
    <w:rsid w:val="00C33EBB"/>
    <w:rsid w:val="00C347A5"/>
    <w:rsid w:val="00C355D1"/>
    <w:rsid w:val="00C400C1"/>
    <w:rsid w:val="00C45D37"/>
    <w:rsid w:val="00C61DC1"/>
    <w:rsid w:val="00C676FA"/>
    <w:rsid w:val="00C72B39"/>
    <w:rsid w:val="00C731A2"/>
    <w:rsid w:val="00C75770"/>
    <w:rsid w:val="00C760F3"/>
    <w:rsid w:val="00C77D78"/>
    <w:rsid w:val="00C871BC"/>
    <w:rsid w:val="00C90594"/>
    <w:rsid w:val="00C92581"/>
    <w:rsid w:val="00C9726D"/>
    <w:rsid w:val="00CA01B9"/>
    <w:rsid w:val="00CB3D64"/>
    <w:rsid w:val="00CC0E27"/>
    <w:rsid w:val="00CC48FB"/>
    <w:rsid w:val="00CC7568"/>
    <w:rsid w:val="00CD1408"/>
    <w:rsid w:val="00CD60DE"/>
    <w:rsid w:val="00CE7D84"/>
    <w:rsid w:val="00CF1478"/>
    <w:rsid w:val="00CF37DE"/>
    <w:rsid w:val="00D21294"/>
    <w:rsid w:val="00D45026"/>
    <w:rsid w:val="00D47972"/>
    <w:rsid w:val="00D53DD9"/>
    <w:rsid w:val="00D64B49"/>
    <w:rsid w:val="00D87C4F"/>
    <w:rsid w:val="00D95BA0"/>
    <w:rsid w:val="00DA5DA2"/>
    <w:rsid w:val="00DA7C22"/>
    <w:rsid w:val="00DB0E95"/>
    <w:rsid w:val="00DB75F8"/>
    <w:rsid w:val="00DC42EF"/>
    <w:rsid w:val="00DD23FA"/>
    <w:rsid w:val="00DE19C1"/>
    <w:rsid w:val="00DE278A"/>
    <w:rsid w:val="00DF186A"/>
    <w:rsid w:val="00E00E44"/>
    <w:rsid w:val="00E030A9"/>
    <w:rsid w:val="00E13ED6"/>
    <w:rsid w:val="00E209C5"/>
    <w:rsid w:val="00E30873"/>
    <w:rsid w:val="00E35570"/>
    <w:rsid w:val="00E435A3"/>
    <w:rsid w:val="00E4799B"/>
    <w:rsid w:val="00E57B51"/>
    <w:rsid w:val="00E624F8"/>
    <w:rsid w:val="00E64C5E"/>
    <w:rsid w:val="00E7469A"/>
    <w:rsid w:val="00E83463"/>
    <w:rsid w:val="00E92D96"/>
    <w:rsid w:val="00E9321B"/>
    <w:rsid w:val="00E97AD4"/>
    <w:rsid w:val="00EA1948"/>
    <w:rsid w:val="00EA2E13"/>
    <w:rsid w:val="00EA383D"/>
    <w:rsid w:val="00EA6CE4"/>
    <w:rsid w:val="00EA6FF2"/>
    <w:rsid w:val="00EB4242"/>
    <w:rsid w:val="00EB4276"/>
    <w:rsid w:val="00EB63BE"/>
    <w:rsid w:val="00EC1AF8"/>
    <w:rsid w:val="00EC5898"/>
    <w:rsid w:val="00EC7F2F"/>
    <w:rsid w:val="00ED35DC"/>
    <w:rsid w:val="00EE0529"/>
    <w:rsid w:val="00EE38FB"/>
    <w:rsid w:val="00F009D6"/>
    <w:rsid w:val="00F06F2C"/>
    <w:rsid w:val="00F07C99"/>
    <w:rsid w:val="00F224A7"/>
    <w:rsid w:val="00F23B00"/>
    <w:rsid w:val="00F407BF"/>
    <w:rsid w:val="00F5343D"/>
    <w:rsid w:val="00F5514A"/>
    <w:rsid w:val="00F619E7"/>
    <w:rsid w:val="00F61B66"/>
    <w:rsid w:val="00F622AE"/>
    <w:rsid w:val="00F70D37"/>
    <w:rsid w:val="00F85C5C"/>
    <w:rsid w:val="00F87F04"/>
    <w:rsid w:val="00F910A9"/>
    <w:rsid w:val="00F96211"/>
    <w:rsid w:val="00FA042A"/>
    <w:rsid w:val="00FA3B4E"/>
    <w:rsid w:val="00FB0682"/>
    <w:rsid w:val="00FB180D"/>
    <w:rsid w:val="00FB48A0"/>
    <w:rsid w:val="00FC105D"/>
    <w:rsid w:val="00FD68DD"/>
    <w:rsid w:val="00FD7A56"/>
    <w:rsid w:val="00FE734D"/>
    <w:rsid w:val="00FE7512"/>
    <w:rsid w:val="00FF1865"/>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889AA"/>
  <w15:docId w15:val="{951B03C7-BF6E-408A-ADCD-0AF0CF2D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594"/>
    <w:pPr>
      <w:spacing w:after="200" w:line="276" w:lineRule="auto"/>
    </w:pPr>
    <w:rPr>
      <w:rFonts w:cs="Calibri"/>
      <w:lang w:val="en-GB"/>
    </w:rPr>
  </w:style>
  <w:style w:type="paragraph" w:styleId="Heading1">
    <w:name w:val="heading 1"/>
    <w:basedOn w:val="Normal"/>
    <w:next w:val="Normal"/>
    <w:link w:val="Heading1Char"/>
    <w:qFormat/>
    <w:locked/>
    <w:rsid w:val="00A969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FB180D"/>
    <w:pPr>
      <w:keepNext/>
      <w:tabs>
        <w:tab w:val="left" w:pos="5387"/>
      </w:tabs>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180D"/>
    <w:rPr>
      <w:rFonts w:ascii="Arial" w:hAnsi="Arial" w:cs="Arial"/>
      <w:b/>
      <w:bCs/>
      <w:sz w:val="24"/>
      <w:szCs w:val="24"/>
      <w:lang w:val="en-GB"/>
    </w:rPr>
  </w:style>
  <w:style w:type="paragraph" w:styleId="Header">
    <w:name w:val="header"/>
    <w:basedOn w:val="Normal"/>
    <w:link w:val="HeaderChar"/>
    <w:uiPriority w:val="99"/>
    <w:rsid w:val="00551A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1ADB"/>
  </w:style>
  <w:style w:type="paragraph" w:styleId="Footer">
    <w:name w:val="footer"/>
    <w:basedOn w:val="Normal"/>
    <w:link w:val="FooterChar"/>
    <w:uiPriority w:val="99"/>
    <w:rsid w:val="00551A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1ADB"/>
  </w:style>
  <w:style w:type="paragraph" w:styleId="Caption">
    <w:name w:val="caption"/>
    <w:basedOn w:val="Normal"/>
    <w:next w:val="Normal"/>
    <w:uiPriority w:val="99"/>
    <w:qFormat/>
    <w:rsid w:val="00551ADB"/>
    <w:pPr>
      <w:spacing w:after="0" w:line="240" w:lineRule="auto"/>
      <w:jc w:val="center"/>
    </w:pPr>
    <w:rPr>
      <w:rFonts w:ascii="Times New Roman" w:eastAsia="Times New Roman" w:hAnsi="Times New Roman" w:cs="Times New Roman"/>
      <w:b/>
      <w:bCs/>
      <w:sz w:val="24"/>
      <w:szCs w:val="24"/>
      <w:lang w:eastAsia="fr-FR"/>
    </w:rPr>
  </w:style>
  <w:style w:type="paragraph" w:styleId="BalloonText">
    <w:name w:val="Balloon Text"/>
    <w:basedOn w:val="Normal"/>
    <w:link w:val="BalloonTextChar"/>
    <w:uiPriority w:val="99"/>
    <w:semiHidden/>
    <w:rsid w:val="0055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ADB"/>
    <w:rPr>
      <w:rFonts w:ascii="Tahoma" w:hAnsi="Tahoma" w:cs="Tahoma"/>
      <w:sz w:val="16"/>
      <w:szCs w:val="16"/>
    </w:rPr>
  </w:style>
  <w:style w:type="table" w:styleId="TableGrid">
    <w:name w:val="Table Grid"/>
    <w:basedOn w:val="TableNormal"/>
    <w:uiPriority w:val="99"/>
    <w:rsid w:val="00551A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AB List 1,Bullet Points,List Paragraph1,ProcessA,Paragraphe de liste,Liste couleur - Accent 1,Liste couleur - Accent 14,References,Bullets,Numbered List Paragraph,ReferencesCxSpLast"/>
    <w:basedOn w:val="Normal"/>
    <w:link w:val="ListParagraphChar"/>
    <w:uiPriority w:val="34"/>
    <w:qFormat/>
    <w:rsid w:val="00FB18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Times New Roman" w:hAnsi="Times New Roman" w:cs="Times New Roman"/>
      <w:color w:val="000000"/>
      <w:sz w:val="24"/>
      <w:szCs w:val="24"/>
      <w:u w:color="000000"/>
    </w:rPr>
  </w:style>
  <w:style w:type="paragraph" w:styleId="BodyTextIndent">
    <w:name w:val="Body Text Indent"/>
    <w:basedOn w:val="Normal"/>
    <w:link w:val="BodyTextIndentChar"/>
    <w:uiPriority w:val="99"/>
    <w:rsid w:val="00FB180D"/>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ind w:left="360"/>
    </w:pPr>
    <w:rPr>
      <w:rFonts w:ascii="Times New Roman" w:eastAsia="Arial Unicode MS" w:hAnsi="Times New Roman" w:cs="Times New Roman"/>
      <w:sz w:val="24"/>
      <w:szCs w:val="24"/>
    </w:rPr>
  </w:style>
  <w:style w:type="character" w:customStyle="1" w:styleId="BodyTextIndentChar">
    <w:name w:val="Body Text Indent Char"/>
    <w:basedOn w:val="DefaultParagraphFont"/>
    <w:link w:val="BodyTextIndent"/>
    <w:uiPriority w:val="99"/>
    <w:locked/>
    <w:rsid w:val="00FB180D"/>
    <w:rPr>
      <w:rFonts w:ascii="Times New Roman" w:eastAsia="Arial Unicode MS" w:hAnsi="Times New Roman" w:cs="Times New Roman"/>
      <w:sz w:val="24"/>
      <w:szCs w:val="24"/>
    </w:rPr>
  </w:style>
  <w:style w:type="paragraph" w:styleId="NoSpacing">
    <w:name w:val="No Spacing"/>
    <w:link w:val="NoSpacingChar"/>
    <w:uiPriority w:val="1"/>
    <w:qFormat/>
    <w:rsid w:val="00FB180D"/>
    <w:rPr>
      <w:rFonts w:cs="Calibri"/>
    </w:rPr>
  </w:style>
  <w:style w:type="character" w:customStyle="1" w:styleId="Heading1Char">
    <w:name w:val="Heading 1 Char"/>
    <w:basedOn w:val="DefaultParagraphFont"/>
    <w:link w:val="Heading1"/>
    <w:uiPriority w:val="9"/>
    <w:rsid w:val="00A969AD"/>
    <w:rPr>
      <w:rFonts w:asciiTheme="majorHAnsi" w:eastAsiaTheme="majorEastAsia" w:hAnsiTheme="majorHAnsi" w:cstheme="majorBidi"/>
      <w:b/>
      <w:bCs/>
      <w:color w:val="345A8A" w:themeColor="accent1" w:themeShade="B5"/>
      <w:sz w:val="32"/>
      <w:szCs w:val="32"/>
      <w:lang w:val="en-GB"/>
    </w:rPr>
  </w:style>
  <w:style w:type="paragraph" w:customStyle="1" w:styleId="Default">
    <w:name w:val="Default"/>
    <w:rsid w:val="007E756C"/>
    <w:pPr>
      <w:widowControl w:val="0"/>
      <w:autoSpaceDE w:val="0"/>
      <w:autoSpaceDN w:val="0"/>
      <w:adjustRightInd w:val="0"/>
    </w:pPr>
    <w:rPr>
      <w:rFonts w:ascii="Candara" w:hAnsi="Candara" w:cs="Candara"/>
      <w:color w:val="000000"/>
      <w:sz w:val="24"/>
      <w:szCs w:val="24"/>
    </w:rPr>
  </w:style>
  <w:style w:type="character" w:customStyle="1" w:styleId="NoSpacingChar">
    <w:name w:val="No Spacing Char"/>
    <w:basedOn w:val="DefaultParagraphFont"/>
    <w:link w:val="NoSpacing"/>
    <w:uiPriority w:val="1"/>
    <w:rsid w:val="00BD68AD"/>
    <w:rPr>
      <w:rFonts w:cs="Calibri"/>
    </w:rPr>
  </w:style>
  <w:style w:type="table" w:styleId="GridTable3">
    <w:name w:val="Grid Table 3"/>
    <w:basedOn w:val="TableNormal"/>
    <w:uiPriority w:val="48"/>
    <w:rsid w:val="00EE38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1">
    <w:name w:val="Grid Table 1 Light Accent 1"/>
    <w:basedOn w:val="TableNormal"/>
    <w:uiPriority w:val="46"/>
    <w:rsid w:val="005F32D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F32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
    <w:name w:val="List Table 6 Colorful"/>
    <w:basedOn w:val="TableNormal"/>
    <w:uiPriority w:val="51"/>
    <w:rsid w:val="005F32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5F32D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2">
    <w:name w:val="Plain Table 2"/>
    <w:basedOn w:val="TableNormal"/>
    <w:uiPriority w:val="42"/>
    <w:rsid w:val="001A69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List Bulet Char,COMESA Text 2 Char,Standard 12 pt Char,List Bullet Mary Char,AB List 1 Char,Bullet Points Char,List Paragraph1 Char,ProcessA Char,Paragraphe de liste Char,Liste couleur - Accent 1 Char,Liste couleur - Accent 14 Char"/>
    <w:link w:val="ListParagraph"/>
    <w:uiPriority w:val="34"/>
    <w:locked/>
    <w:rsid w:val="00C13E20"/>
    <w:rPr>
      <w:rFonts w:ascii="Times New Roman" w:eastAsia="Times New Roman" w:hAnsi="Times New Roman"/>
      <w:color w:val="000000"/>
      <w:sz w:val="24"/>
      <w:szCs w:val="24"/>
      <w:u w:color="000000"/>
      <w:lang w:val="en-GB"/>
    </w:rPr>
  </w:style>
  <w:style w:type="paragraph" w:styleId="NormalWeb">
    <w:name w:val="Normal (Web)"/>
    <w:basedOn w:val="Normal"/>
    <w:uiPriority w:val="99"/>
    <w:unhideWhenUsed/>
    <w:rsid w:val="00C13E2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C13E20"/>
    <w:rPr>
      <w:rFonts w:asciiTheme="minorHAnsi" w:eastAsiaTheme="minorHAnsi" w:hAnsiTheme="minorHAnsi" w:cstheme="minorBidi"/>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2219">
      <w:bodyDiv w:val="1"/>
      <w:marLeft w:val="0"/>
      <w:marRight w:val="0"/>
      <w:marTop w:val="0"/>
      <w:marBottom w:val="0"/>
      <w:divBdr>
        <w:top w:val="none" w:sz="0" w:space="0" w:color="auto"/>
        <w:left w:val="none" w:sz="0" w:space="0" w:color="auto"/>
        <w:bottom w:val="none" w:sz="0" w:space="0" w:color="auto"/>
        <w:right w:val="none" w:sz="0" w:space="0" w:color="auto"/>
      </w:divBdr>
    </w:div>
    <w:div w:id="1188714425">
      <w:bodyDiv w:val="1"/>
      <w:marLeft w:val="0"/>
      <w:marRight w:val="0"/>
      <w:marTop w:val="0"/>
      <w:marBottom w:val="0"/>
      <w:divBdr>
        <w:top w:val="none" w:sz="0" w:space="0" w:color="auto"/>
        <w:left w:val="none" w:sz="0" w:space="0" w:color="auto"/>
        <w:bottom w:val="none" w:sz="0" w:space="0" w:color="auto"/>
        <w:right w:val="none" w:sz="0" w:space="0" w:color="auto"/>
      </w:divBdr>
    </w:div>
    <w:div w:id="17683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ma.com/mobilefordevelopment/programme/ecosystem-accelerator/things-learned-tech-hubs-africa-as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science/inno/oecdinnovationmicrodataprojec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5" ma:contentTypeDescription="Create a new document." ma:contentTypeScope="" ma:versionID="3ddbeea5dcd434943ec02a271bc0b817">
  <xsd:schema xmlns:xsd="http://www.w3.org/2001/XMLSchema" xmlns:xs="http://www.w3.org/2001/XMLSchema" xmlns:p="http://schemas.microsoft.com/office/2006/metadata/properties" xmlns:ns3="90efdea8-cb2b-4c78-b23e-2be7fae1fdec" targetNamespace="http://schemas.microsoft.com/office/2006/metadata/properties" ma:root="true" ma:fieldsID="219d259fcbab7d6117af43ca3f6e04f6" ns3:_="">
    <xsd:import namespace="90efdea8-cb2b-4c78-b23e-2be7fae1f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FA26-25E4-4A93-A186-C9567695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F13B0-6476-4D9A-96C3-6251C2DB1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2D811-C13B-49A0-9282-11F6528008E2}">
  <ds:schemaRefs>
    <ds:schemaRef ds:uri="http://schemas.microsoft.com/sharepoint/v3/contenttype/forms"/>
  </ds:schemaRefs>
</ds:datastoreItem>
</file>

<file path=customXml/itemProps4.xml><?xml version="1.0" encoding="utf-8"?>
<ds:datastoreItem xmlns:ds="http://schemas.openxmlformats.org/officeDocument/2006/customXml" ds:itemID="{7285C12E-A3B6-4642-8294-762DE1E0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TRADE POLICY ANALYSIS TRAINING USING COMPUTABLE GENERAL EQUILIBRIUM (CGE) MODELS</vt:lpstr>
    </vt:vector>
  </TitlesOfParts>
  <Company>HP</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POLICY ANALYSIS TRAINING USING COMPUTABLE GENERAL EQUILIBRIUM (CGE) MODELS</dc:title>
  <dc:subject>The need for the ‘cabotage law in Africa’s Blue Economy</dc:subject>
  <dc:creator>Rachael Nsubuga</dc:creator>
  <cp:lastModifiedBy>Mwangi Gakunga</cp:lastModifiedBy>
  <cp:revision>5</cp:revision>
  <cp:lastPrinted>2016-06-23T08:57:00Z</cp:lastPrinted>
  <dcterms:created xsi:type="dcterms:W3CDTF">2019-09-01T10:29:00Z</dcterms:created>
  <dcterms:modified xsi:type="dcterms:W3CDTF">2019-09-01T10:53:00Z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