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37"/>
      </w:tblGrid>
      <w:tr w:rsidR="00907DE2" w:rsidRPr="0003289A" w:rsidTr="00467B71">
        <w:tc>
          <w:tcPr>
            <w:tcW w:w="9017" w:type="dxa"/>
          </w:tcPr>
          <w:p w:rsidR="00907DE2" w:rsidRPr="0003289A" w:rsidRDefault="00827898" w:rsidP="0094734D">
            <w:pPr>
              <w:bidi/>
              <w:jc w:val="center"/>
              <w:rPr>
                <w:rFonts w:asciiTheme="minorBidi" w:hAnsiTheme="minorBidi"/>
                <w:sz w:val="28"/>
                <w:szCs w:val="28"/>
                <w:rtl/>
                <w:lang w:bidi="ar-EG"/>
              </w:rPr>
            </w:pPr>
            <w:r w:rsidRPr="0003289A">
              <w:rPr>
                <w:rFonts w:asciiTheme="minorBidi" w:hAnsiTheme="minorBidi"/>
                <w:noProof/>
                <w:sz w:val="28"/>
                <w:szCs w:val="28"/>
                <w:rtl/>
              </w:rPr>
              <w:drawing>
                <wp:inline distT="0" distB="0" distL="0" distR="0">
                  <wp:extent cx="1104469" cy="10312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919" cy="1034462"/>
                          </a:xfrm>
                          <a:prstGeom prst="rect">
                            <a:avLst/>
                          </a:prstGeom>
                          <a:noFill/>
                          <a:ln>
                            <a:noFill/>
                          </a:ln>
                        </pic:spPr>
                      </pic:pic>
                    </a:graphicData>
                  </a:graphic>
                </wp:inline>
              </w:drawing>
            </w:r>
          </w:p>
          <w:p w:rsidR="00467B71" w:rsidRPr="0003289A" w:rsidRDefault="00467B71" w:rsidP="00521B61">
            <w:pPr>
              <w:bidi/>
              <w:jc w:val="center"/>
              <w:rPr>
                <w:rFonts w:asciiTheme="minorBidi" w:hAnsiTheme="minorBidi"/>
                <w:sz w:val="28"/>
                <w:szCs w:val="28"/>
                <w:rtl/>
                <w:lang w:bidi="ar-EG"/>
              </w:rPr>
            </w:pPr>
          </w:p>
          <w:p w:rsidR="00521B61" w:rsidRPr="0003289A" w:rsidRDefault="00521B61" w:rsidP="00521B61">
            <w:pPr>
              <w:bidi/>
              <w:jc w:val="center"/>
              <w:rPr>
                <w:rFonts w:asciiTheme="minorBidi" w:hAnsiTheme="minorBidi"/>
                <w:sz w:val="28"/>
                <w:szCs w:val="28"/>
                <w:rtl/>
                <w:lang w:bidi="ar-EG"/>
              </w:rPr>
            </w:pPr>
          </w:p>
          <w:p w:rsidR="00521B61" w:rsidRPr="0003289A" w:rsidRDefault="00521B61" w:rsidP="00521B61">
            <w:pPr>
              <w:bidi/>
              <w:jc w:val="center"/>
              <w:rPr>
                <w:rFonts w:asciiTheme="minorBidi" w:hAnsiTheme="minorBidi"/>
                <w:sz w:val="28"/>
                <w:szCs w:val="28"/>
                <w:rtl/>
                <w:lang w:bidi="ar-EG"/>
              </w:rPr>
            </w:pPr>
          </w:p>
          <w:p w:rsidR="00521B61" w:rsidRPr="0003289A" w:rsidRDefault="00521B61" w:rsidP="00521B61">
            <w:pPr>
              <w:bidi/>
              <w:jc w:val="center"/>
              <w:rPr>
                <w:rFonts w:asciiTheme="minorBidi" w:hAnsiTheme="minorBidi"/>
                <w:sz w:val="28"/>
                <w:szCs w:val="28"/>
                <w:lang w:bidi="ar-EG"/>
              </w:rPr>
            </w:pPr>
          </w:p>
          <w:p w:rsidR="00827898" w:rsidRPr="0003289A" w:rsidRDefault="00521B61" w:rsidP="0094734D">
            <w:pPr>
              <w:bidi/>
              <w:jc w:val="center"/>
              <w:rPr>
                <w:rFonts w:asciiTheme="minorBidi" w:hAnsiTheme="minorBidi"/>
                <w:b/>
                <w:bCs/>
                <w:sz w:val="32"/>
                <w:szCs w:val="32"/>
                <w:rtl/>
                <w:lang w:bidi="ar-EG"/>
              </w:rPr>
            </w:pPr>
            <w:r w:rsidRPr="0003289A">
              <w:rPr>
                <w:rFonts w:asciiTheme="minorBidi" w:hAnsiTheme="minorBidi"/>
                <w:b/>
                <w:bCs/>
                <w:sz w:val="32"/>
                <w:szCs w:val="32"/>
                <w:rtl/>
                <w:lang w:bidi="ar-EG"/>
              </w:rPr>
              <w:t>التطورات الاقتصادية الكلية في إقليم الكوميسا</w:t>
            </w:r>
          </w:p>
          <w:p w:rsidR="00521B61" w:rsidRPr="0003289A" w:rsidRDefault="00521B61" w:rsidP="00521B61">
            <w:pPr>
              <w:bidi/>
              <w:jc w:val="center"/>
              <w:rPr>
                <w:rFonts w:asciiTheme="minorBidi" w:hAnsiTheme="minorBidi"/>
                <w:b/>
                <w:bCs/>
                <w:sz w:val="32"/>
                <w:szCs w:val="32"/>
                <w:rtl/>
                <w:lang w:bidi="ar-EG"/>
              </w:rPr>
            </w:pPr>
            <w:r w:rsidRPr="0003289A">
              <w:rPr>
                <w:rFonts w:asciiTheme="minorBidi" w:hAnsiTheme="minorBidi"/>
                <w:b/>
                <w:bCs/>
                <w:sz w:val="32"/>
                <w:szCs w:val="32"/>
                <w:rtl/>
                <w:lang w:bidi="ar-EG"/>
              </w:rPr>
              <w:t>لعام 2020</w:t>
            </w:r>
          </w:p>
          <w:p w:rsidR="00521B61" w:rsidRPr="0003289A" w:rsidRDefault="00521B61" w:rsidP="00521B61">
            <w:pPr>
              <w:bidi/>
              <w:jc w:val="center"/>
              <w:rPr>
                <w:rFonts w:asciiTheme="minorBidi" w:hAnsiTheme="minorBidi"/>
                <w:b/>
                <w:bCs/>
                <w:sz w:val="32"/>
                <w:szCs w:val="32"/>
                <w:rtl/>
                <w:lang w:bidi="ar-EG"/>
              </w:rPr>
            </w:pPr>
          </w:p>
          <w:p w:rsidR="00521B61" w:rsidRPr="0003289A" w:rsidRDefault="00521B61" w:rsidP="00521B61">
            <w:pPr>
              <w:bidi/>
              <w:jc w:val="center"/>
              <w:rPr>
                <w:rFonts w:asciiTheme="minorBidi" w:hAnsiTheme="minorBidi"/>
                <w:b/>
                <w:bCs/>
                <w:sz w:val="32"/>
                <w:szCs w:val="32"/>
                <w:rtl/>
                <w:lang w:bidi="ar-EG"/>
              </w:rPr>
            </w:pPr>
          </w:p>
          <w:p w:rsidR="00521B61" w:rsidRPr="0003289A" w:rsidRDefault="00521B61" w:rsidP="00521B61">
            <w:pPr>
              <w:bidi/>
              <w:jc w:val="center"/>
              <w:rPr>
                <w:rFonts w:asciiTheme="minorBidi" w:hAnsiTheme="minorBidi"/>
                <w:b/>
                <w:bCs/>
                <w:sz w:val="32"/>
                <w:szCs w:val="32"/>
                <w:rtl/>
                <w:lang w:bidi="ar-EG"/>
              </w:rPr>
            </w:pPr>
          </w:p>
          <w:p w:rsidR="00521B61" w:rsidRPr="0003289A" w:rsidRDefault="0003289A" w:rsidP="00521B61">
            <w:pPr>
              <w:bidi/>
              <w:jc w:val="center"/>
              <w:rPr>
                <w:rFonts w:asciiTheme="minorBidi" w:hAnsiTheme="minorBidi"/>
                <w:b/>
                <w:bCs/>
                <w:sz w:val="32"/>
                <w:szCs w:val="32"/>
                <w:rtl/>
                <w:lang w:bidi="ar-EG"/>
              </w:rPr>
            </w:pPr>
            <w:r w:rsidRPr="0003289A">
              <w:rPr>
                <w:rFonts w:asciiTheme="minorBidi" w:hAnsiTheme="minorBidi"/>
                <w:b/>
                <w:bCs/>
                <w:sz w:val="32"/>
                <w:szCs w:val="32"/>
                <w:rtl/>
                <w:lang w:bidi="ar-EG"/>
              </w:rPr>
              <w:t>بواسطة</w:t>
            </w:r>
          </w:p>
          <w:p w:rsidR="00521B61" w:rsidRPr="0003289A" w:rsidRDefault="00521B61" w:rsidP="00521B61">
            <w:pPr>
              <w:bidi/>
              <w:jc w:val="center"/>
              <w:rPr>
                <w:rFonts w:asciiTheme="minorBidi" w:hAnsiTheme="minorBidi"/>
                <w:b/>
                <w:bCs/>
                <w:sz w:val="32"/>
                <w:szCs w:val="32"/>
                <w:rtl/>
                <w:lang w:bidi="ar-EG"/>
              </w:rPr>
            </w:pPr>
            <w:r w:rsidRPr="0003289A">
              <w:rPr>
                <w:rFonts w:asciiTheme="minorBidi" w:hAnsiTheme="minorBidi"/>
                <w:b/>
                <w:bCs/>
                <w:sz w:val="32"/>
                <w:szCs w:val="32"/>
                <w:rtl/>
                <w:lang w:bidi="ar-EG"/>
              </w:rPr>
              <w:t>معهد الكوميسا النقدي</w:t>
            </w:r>
          </w:p>
          <w:p w:rsidR="00521B61" w:rsidRPr="0003289A" w:rsidRDefault="00521B61" w:rsidP="00521B61">
            <w:pPr>
              <w:bidi/>
              <w:jc w:val="center"/>
              <w:rPr>
                <w:rFonts w:asciiTheme="minorBidi" w:hAnsiTheme="minorBidi"/>
                <w:b/>
                <w:bCs/>
                <w:sz w:val="32"/>
                <w:szCs w:val="32"/>
                <w:rtl/>
                <w:lang w:bidi="ar-EG"/>
              </w:rPr>
            </w:pPr>
          </w:p>
          <w:p w:rsidR="00827898" w:rsidRPr="0003289A" w:rsidRDefault="00827898" w:rsidP="0094734D">
            <w:pPr>
              <w:bidi/>
              <w:jc w:val="center"/>
              <w:rPr>
                <w:rFonts w:asciiTheme="minorBidi" w:hAnsiTheme="minorBidi"/>
                <w:sz w:val="28"/>
                <w:szCs w:val="28"/>
                <w:lang w:bidi="ar-EG"/>
              </w:rPr>
            </w:pPr>
          </w:p>
          <w:p w:rsidR="00827898" w:rsidRPr="0003289A" w:rsidRDefault="00827898" w:rsidP="0094734D">
            <w:pPr>
              <w:bidi/>
              <w:jc w:val="center"/>
              <w:rPr>
                <w:rFonts w:asciiTheme="minorBidi" w:hAnsiTheme="minorBidi"/>
                <w:sz w:val="28"/>
                <w:szCs w:val="28"/>
                <w:rtl/>
                <w:lang w:bidi="ar-EG"/>
              </w:rPr>
            </w:pPr>
          </w:p>
          <w:p w:rsidR="00827898" w:rsidRPr="0003289A" w:rsidRDefault="00827898" w:rsidP="0094734D">
            <w:pPr>
              <w:bidi/>
              <w:jc w:val="center"/>
              <w:rPr>
                <w:rFonts w:asciiTheme="minorBidi" w:hAnsiTheme="minorBidi"/>
                <w:sz w:val="28"/>
                <w:szCs w:val="28"/>
                <w:lang w:bidi="ar-EG"/>
              </w:rPr>
            </w:pPr>
          </w:p>
          <w:p w:rsidR="00827898" w:rsidRPr="0003289A" w:rsidRDefault="00827898" w:rsidP="0094734D">
            <w:pPr>
              <w:bidi/>
              <w:jc w:val="center"/>
              <w:rPr>
                <w:rFonts w:asciiTheme="minorBidi" w:hAnsiTheme="minorBidi"/>
                <w:sz w:val="28"/>
                <w:szCs w:val="28"/>
                <w:lang w:bidi="ar-EG"/>
              </w:rPr>
            </w:pPr>
          </w:p>
          <w:p w:rsidR="00827898" w:rsidRPr="0003289A" w:rsidRDefault="00827898" w:rsidP="0094734D">
            <w:pPr>
              <w:bidi/>
              <w:jc w:val="right"/>
              <w:rPr>
                <w:rFonts w:asciiTheme="minorBidi" w:hAnsiTheme="minorBidi"/>
                <w:sz w:val="20"/>
                <w:szCs w:val="20"/>
                <w:rtl/>
                <w:lang w:bidi="ar-EG"/>
              </w:rPr>
            </w:pPr>
          </w:p>
        </w:tc>
      </w:tr>
    </w:tbl>
    <w:p w:rsidR="001A4A6C" w:rsidRPr="0003289A" w:rsidRDefault="001A4A6C" w:rsidP="00890C08">
      <w:pPr>
        <w:bidi/>
        <w:spacing w:after="0" w:line="360" w:lineRule="auto"/>
        <w:jc w:val="both"/>
        <w:rPr>
          <w:rFonts w:asciiTheme="minorBidi" w:hAnsiTheme="minorBidi"/>
          <w:sz w:val="28"/>
          <w:szCs w:val="28"/>
          <w:rtl/>
          <w:lang w:bidi="ar-EG"/>
        </w:rPr>
        <w:sectPr w:rsidR="001A4A6C" w:rsidRPr="0003289A" w:rsidSect="00890C08">
          <w:headerReference w:type="default" r:id="rId9"/>
          <w:pgSz w:w="11907" w:h="16839" w:code="9"/>
          <w:pgMar w:top="1440" w:right="1440" w:bottom="1440" w:left="1440" w:header="720" w:footer="720" w:gutter="0"/>
          <w:pgNumType w:start="1"/>
          <w:cols w:space="720"/>
          <w:docGrid w:linePitch="360"/>
        </w:sectPr>
      </w:pPr>
    </w:p>
    <w:sdt>
      <w:sdtPr>
        <w:rPr>
          <w:rFonts w:asciiTheme="minorBidi" w:eastAsiaTheme="minorHAnsi" w:hAnsiTheme="minorBidi" w:cstheme="minorBidi"/>
          <w:b/>
          <w:bCs/>
          <w:color w:val="auto"/>
          <w:sz w:val="28"/>
          <w:szCs w:val="28"/>
          <w:rtl/>
        </w:rPr>
        <w:id w:val="2119628802"/>
        <w:docPartObj>
          <w:docPartGallery w:val="Table of Contents"/>
          <w:docPartUnique/>
        </w:docPartObj>
      </w:sdtPr>
      <w:sdtEndPr>
        <w:rPr>
          <w:noProof/>
        </w:rPr>
      </w:sdtEndPr>
      <w:sdtContent>
        <w:p w:rsidR="00521B61" w:rsidRPr="0003289A" w:rsidRDefault="00521B61" w:rsidP="0003289A">
          <w:pPr>
            <w:pStyle w:val="TOCHeading"/>
            <w:bidi/>
            <w:spacing w:before="0" w:line="360" w:lineRule="auto"/>
            <w:jc w:val="both"/>
            <w:rPr>
              <w:rFonts w:asciiTheme="minorBidi" w:hAnsiTheme="minorBidi" w:cstheme="minorBidi"/>
              <w:b/>
              <w:bCs/>
              <w:color w:val="auto"/>
              <w:sz w:val="28"/>
              <w:szCs w:val="28"/>
            </w:rPr>
          </w:pPr>
          <w:r w:rsidRPr="0003289A">
            <w:rPr>
              <w:rFonts w:asciiTheme="minorBidi" w:hAnsiTheme="minorBidi" w:cstheme="minorBidi"/>
              <w:b/>
              <w:bCs/>
              <w:color w:val="auto"/>
              <w:sz w:val="28"/>
              <w:szCs w:val="28"/>
              <w:rtl/>
            </w:rPr>
            <w:t>قائمة المحتويات</w:t>
          </w:r>
        </w:p>
        <w:p w:rsidR="00521B61" w:rsidRPr="0003289A" w:rsidRDefault="00521B61" w:rsidP="0003289A">
          <w:pPr>
            <w:pStyle w:val="TOC1"/>
            <w:spacing w:line="360" w:lineRule="auto"/>
            <w:rPr>
              <w:rFonts w:asciiTheme="minorBidi" w:hAnsiTheme="minorBidi"/>
              <w:noProof/>
              <w:sz w:val="28"/>
              <w:szCs w:val="28"/>
              <w:rtl/>
            </w:rPr>
          </w:pPr>
          <w:r w:rsidRPr="0003289A">
            <w:rPr>
              <w:rFonts w:asciiTheme="minorBidi" w:hAnsiTheme="minorBidi"/>
              <w:b/>
              <w:bCs/>
              <w:noProof/>
              <w:sz w:val="28"/>
              <w:szCs w:val="28"/>
              <w:rtl/>
            </w:rPr>
            <w:fldChar w:fldCharType="begin"/>
          </w:r>
          <w:r w:rsidRPr="0003289A">
            <w:rPr>
              <w:rFonts w:asciiTheme="minorBidi" w:hAnsiTheme="minorBidi"/>
              <w:b/>
              <w:bCs/>
              <w:noProof/>
              <w:sz w:val="28"/>
              <w:szCs w:val="28"/>
              <w:rtl/>
            </w:rPr>
            <w:instrText xml:space="preserve"> TOC \o "1-3" \h \z \u </w:instrText>
          </w:r>
          <w:r w:rsidRPr="0003289A">
            <w:rPr>
              <w:rFonts w:asciiTheme="minorBidi" w:hAnsiTheme="minorBidi"/>
              <w:b/>
              <w:bCs/>
              <w:noProof/>
              <w:sz w:val="28"/>
              <w:szCs w:val="28"/>
              <w:rtl/>
            </w:rPr>
            <w:fldChar w:fldCharType="separate"/>
          </w:r>
          <w:hyperlink w:anchor="_Toc82709007" w:history="1">
            <w:r w:rsidRPr="0003289A">
              <w:rPr>
                <w:rStyle w:val="Hyperlink"/>
                <w:rFonts w:asciiTheme="minorBidi" w:hAnsiTheme="minorBidi"/>
                <w:noProof/>
                <w:sz w:val="28"/>
                <w:szCs w:val="28"/>
                <w:rtl/>
                <w:lang w:bidi="ar-EG"/>
              </w:rPr>
              <w:t>1.</w:t>
            </w:r>
            <w:r w:rsidRPr="0003289A">
              <w:rPr>
                <w:rFonts w:asciiTheme="minorBidi" w:hAnsiTheme="minorBidi"/>
                <w:noProof/>
                <w:sz w:val="28"/>
                <w:szCs w:val="28"/>
                <w:rtl/>
              </w:rPr>
              <w:tab/>
            </w:r>
            <w:r w:rsidRPr="0003289A">
              <w:rPr>
                <w:rStyle w:val="Hyperlink"/>
                <w:rFonts w:asciiTheme="minorBidi" w:hAnsiTheme="minorBidi"/>
                <w:noProof/>
                <w:sz w:val="28"/>
                <w:szCs w:val="28"/>
                <w:rtl/>
                <w:lang w:bidi="ar-EG"/>
              </w:rPr>
              <w:t>الخلفية العامة</w:t>
            </w:r>
            <w:r w:rsidRPr="0003289A">
              <w:rPr>
                <w:rFonts w:asciiTheme="minorBidi" w:hAnsiTheme="minorBidi"/>
                <w:noProof/>
                <w:webHidden/>
                <w:sz w:val="28"/>
                <w:szCs w:val="28"/>
                <w:rtl/>
              </w:rPr>
              <w:tab/>
            </w:r>
            <w:r w:rsidRPr="0003289A">
              <w:rPr>
                <w:rFonts w:asciiTheme="minorBidi" w:hAnsiTheme="minorBidi"/>
                <w:noProof/>
                <w:webHidden/>
                <w:sz w:val="28"/>
                <w:szCs w:val="28"/>
                <w:rtl/>
              </w:rPr>
              <w:fldChar w:fldCharType="begin"/>
            </w:r>
            <w:r w:rsidRPr="0003289A">
              <w:rPr>
                <w:rFonts w:asciiTheme="minorBidi" w:hAnsiTheme="minorBidi"/>
                <w:noProof/>
                <w:webHidden/>
                <w:sz w:val="28"/>
                <w:szCs w:val="28"/>
                <w:rtl/>
              </w:rPr>
              <w:instrText xml:space="preserve"> PAGEREF _Toc82709007 \h </w:instrText>
            </w:r>
            <w:r w:rsidRPr="0003289A">
              <w:rPr>
                <w:rFonts w:asciiTheme="minorBidi" w:hAnsiTheme="minorBidi"/>
                <w:noProof/>
                <w:webHidden/>
                <w:sz w:val="28"/>
                <w:szCs w:val="28"/>
                <w:rtl/>
              </w:rPr>
            </w:r>
            <w:r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3</w:t>
            </w:r>
            <w:r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08" w:history="1">
            <w:r w:rsidR="00521B61" w:rsidRPr="0003289A">
              <w:rPr>
                <w:rStyle w:val="Hyperlink"/>
                <w:rFonts w:asciiTheme="minorBidi" w:hAnsiTheme="minorBidi"/>
                <w:noProof/>
                <w:sz w:val="28"/>
                <w:szCs w:val="28"/>
                <w:rtl/>
                <w:lang w:bidi="ar-EG"/>
              </w:rPr>
              <w:t>2.</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النمو</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_Toc82709008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3</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09" w:history="1">
            <w:r w:rsidR="00521B61" w:rsidRPr="0003289A">
              <w:rPr>
                <w:rStyle w:val="Hyperlink"/>
                <w:rFonts w:asciiTheme="minorBidi" w:hAnsiTheme="minorBidi"/>
                <w:noProof/>
                <w:sz w:val="28"/>
                <w:szCs w:val="28"/>
                <w:rtl/>
                <w:lang w:bidi="ar-EG"/>
              </w:rPr>
              <w:t>3.</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معدل التضخم</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_Toc82709009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4</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0" w:history="1">
            <w:r w:rsidR="00521B61" w:rsidRPr="0003289A">
              <w:rPr>
                <w:rStyle w:val="Hyperlink"/>
                <w:rFonts w:asciiTheme="minorBidi" w:hAnsiTheme="minorBidi"/>
                <w:noProof/>
                <w:sz w:val="28"/>
                <w:szCs w:val="28"/>
                <w:rtl/>
                <w:lang w:bidi="ar-EG"/>
              </w:rPr>
              <w:t>4.</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 xml:space="preserve">السياسة النقدية وتطورات </w:t>
            </w:r>
            <w:r w:rsidR="00F93DC6" w:rsidRPr="0003289A">
              <w:rPr>
                <w:rStyle w:val="Hyperlink"/>
                <w:rFonts w:asciiTheme="minorBidi" w:hAnsiTheme="minorBidi"/>
                <w:noProof/>
                <w:sz w:val="28"/>
                <w:szCs w:val="28"/>
                <w:rtl/>
                <w:lang w:bidi="ar-EG"/>
              </w:rPr>
              <w:t>أسعار الصرف</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_Toc82709010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5</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1" w:history="1">
            <w:r w:rsidR="00521B61" w:rsidRPr="0003289A">
              <w:rPr>
                <w:rStyle w:val="Hyperlink"/>
                <w:rFonts w:asciiTheme="minorBidi" w:hAnsiTheme="minorBidi"/>
                <w:noProof/>
                <w:sz w:val="28"/>
                <w:szCs w:val="28"/>
                <w:rtl/>
                <w:lang w:bidi="ar-EG"/>
              </w:rPr>
              <w:t>5.</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الرصيد المالي الكلي شاملًا المنح</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_Toc82709011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6</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2" w:history="1">
            <w:r w:rsidR="00521B61" w:rsidRPr="0003289A">
              <w:rPr>
                <w:rStyle w:val="Hyperlink"/>
                <w:rFonts w:asciiTheme="minorBidi" w:hAnsiTheme="minorBidi"/>
                <w:noProof/>
                <w:sz w:val="28"/>
                <w:szCs w:val="28"/>
                <w:rtl/>
                <w:lang w:bidi="ar-EG"/>
              </w:rPr>
              <w:t>6.</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الدين الحكومي</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_Toc82709012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8</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3" w:history="1">
            <w:r w:rsidR="00521B61" w:rsidRPr="0003289A">
              <w:rPr>
                <w:rStyle w:val="Hyperlink"/>
                <w:rFonts w:asciiTheme="minorBidi" w:hAnsiTheme="minorBidi"/>
                <w:noProof/>
                <w:sz w:val="28"/>
                <w:szCs w:val="28"/>
                <w:rtl/>
                <w:lang w:bidi="ar-EG"/>
              </w:rPr>
              <w:t>7.</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الحساب الجاري الخارجي شاملًا المنح</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_Toc82709013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9</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4" w:history="1">
            <w:r w:rsidR="00521B61" w:rsidRPr="0003289A">
              <w:rPr>
                <w:rStyle w:val="Hyperlink"/>
                <w:rFonts w:asciiTheme="minorBidi" w:hAnsiTheme="minorBidi"/>
                <w:noProof/>
                <w:sz w:val="28"/>
                <w:szCs w:val="28"/>
                <w:rtl/>
                <w:lang w:bidi="ar-EG"/>
              </w:rPr>
              <w:t>8.</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تراكم الاحتياطي</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_Toc82709014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10</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5" w:history="1">
            <w:r w:rsidR="00521B61" w:rsidRPr="0003289A">
              <w:rPr>
                <w:rStyle w:val="Hyperlink"/>
                <w:rFonts w:asciiTheme="minorBidi" w:hAnsiTheme="minorBidi"/>
                <w:noProof/>
                <w:sz w:val="28"/>
                <w:szCs w:val="28"/>
                <w:rtl/>
                <w:lang w:bidi="ar-EG"/>
              </w:rPr>
              <w:t>9.</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التطلعات متوسطة الأجل والتوصيات لفرصة التغيير</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_Toc82709015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11</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6" w:history="1">
            <w:r w:rsidR="00521B61" w:rsidRPr="0003289A">
              <w:rPr>
                <w:rStyle w:val="Hyperlink"/>
                <w:rFonts w:asciiTheme="minorBidi" w:hAnsiTheme="minorBidi"/>
                <w:noProof/>
                <w:sz w:val="28"/>
                <w:szCs w:val="28"/>
                <w:rtl/>
                <w:lang w:bidi="ar-EG"/>
              </w:rPr>
              <w:t>10.</w:t>
            </w:r>
            <w:r w:rsidR="00521B61" w:rsidRPr="0003289A">
              <w:rPr>
                <w:rFonts w:asciiTheme="minorBidi" w:hAnsiTheme="minorBidi"/>
                <w:noProof/>
                <w:sz w:val="28"/>
                <w:szCs w:val="28"/>
                <w:rtl/>
              </w:rPr>
              <w:tab/>
            </w:r>
            <w:r w:rsidR="00521B61" w:rsidRPr="0003289A">
              <w:rPr>
                <w:rStyle w:val="Hyperlink"/>
                <w:rFonts w:asciiTheme="minorBidi" w:hAnsiTheme="minorBidi"/>
                <w:noProof/>
                <w:sz w:val="28"/>
                <w:szCs w:val="28"/>
                <w:rtl/>
                <w:lang w:bidi="ar-EG"/>
              </w:rPr>
              <w:t>المخاطر المتوقعة</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_Toc82709016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12</w:t>
            </w:r>
            <w:r w:rsidR="00521B61" w:rsidRPr="0003289A">
              <w:rPr>
                <w:rFonts w:asciiTheme="minorBidi" w:hAnsiTheme="minorBidi"/>
                <w:noProof/>
                <w:webHidden/>
                <w:sz w:val="28"/>
                <w:szCs w:val="28"/>
                <w:rtl/>
              </w:rPr>
              <w:fldChar w:fldCharType="end"/>
            </w:r>
          </w:hyperlink>
        </w:p>
        <w:p w:rsidR="00521B61" w:rsidRPr="0003289A" w:rsidRDefault="00E37113" w:rsidP="0003289A">
          <w:pPr>
            <w:pStyle w:val="TOC1"/>
            <w:spacing w:line="360" w:lineRule="auto"/>
            <w:rPr>
              <w:rFonts w:asciiTheme="minorBidi" w:hAnsiTheme="minorBidi"/>
              <w:noProof/>
              <w:sz w:val="28"/>
              <w:szCs w:val="28"/>
              <w:rtl/>
            </w:rPr>
          </w:pPr>
          <w:hyperlink w:anchor="_Toc82709017" w:history="1">
            <w:r w:rsidR="00521B61" w:rsidRPr="0003289A">
              <w:rPr>
                <w:rStyle w:val="Hyperlink"/>
                <w:rFonts w:asciiTheme="minorBidi" w:hAnsiTheme="minorBidi"/>
                <w:noProof/>
                <w:sz w:val="28"/>
                <w:szCs w:val="28"/>
                <w:rtl/>
                <w:lang w:bidi="ar-EG"/>
              </w:rPr>
              <w:t>المراجع</w:t>
            </w:r>
            <w:r w:rsidR="00521B61" w:rsidRPr="0003289A">
              <w:rPr>
                <w:rFonts w:asciiTheme="minorBidi" w:hAnsiTheme="minorBidi"/>
                <w:noProof/>
                <w:webHidden/>
                <w:sz w:val="28"/>
                <w:szCs w:val="28"/>
                <w:rtl/>
              </w:rPr>
              <w:tab/>
            </w:r>
            <w:r w:rsidR="00521B61" w:rsidRPr="0003289A">
              <w:rPr>
                <w:rFonts w:asciiTheme="minorBidi" w:hAnsiTheme="minorBidi"/>
                <w:noProof/>
                <w:webHidden/>
                <w:sz w:val="28"/>
                <w:szCs w:val="28"/>
                <w:rtl/>
              </w:rPr>
              <w:fldChar w:fldCharType="begin"/>
            </w:r>
            <w:r w:rsidR="00521B61" w:rsidRPr="0003289A">
              <w:rPr>
                <w:rFonts w:asciiTheme="minorBidi" w:hAnsiTheme="minorBidi"/>
                <w:noProof/>
                <w:webHidden/>
                <w:sz w:val="28"/>
                <w:szCs w:val="28"/>
                <w:rtl/>
              </w:rPr>
              <w:instrText xml:space="preserve"> PAGEREF _Toc82709017 \h </w:instrText>
            </w:r>
            <w:r w:rsidR="00521B61" w:rsidRPr="0003289A">
              <w:rPr>
                <w:rFonts w:asciiTheme="minorBidi" w:hAnsiTheme="minorBidi"/>
                <w:noProof/>
                <w:webHidden/>
                <w:sz w:val="28"/>
                <w:szCs w:val="28"/>
                <w:rtl/>
              </w:rPr>
            </w:r>
            <w:r w:rsidR="00521B61" w:rsidRPr="0003289A">
              <w:rPr>
                <w:rFonts w:asciiTheme="minorBidi" w:hAnsiTheme="minorBidi"/>
                <w:noProof/>
                <w:webHidden/>
                <w:sz w:val="28"/>
                <w:szCs w:val="28"/>
                <w:rtl/>
              </w:rPr>
              <w:fldChar w:fldCharType="separate"/>
            </w:r>
            <w:r w:rsidR="0003289A" w:rsidRPr="0003289A">
              <w:rPr>
                <w:rFonts w:asciiTheme="minorBidi" w:hAnsiTheme="minorBidi"/>
                <w:noProof/>
                <w:webHidden/>
                <w:sz w:val="28"/>
                <w:szCs w:val="28"/>
                <w:rtl/>
              </w:rPr>
              <w:t>12</w:t>
            </w:r>
            <w:r w:rsidR="00521B61" w:rsidRPr="0003289A">
              <w:rPr>
                <w:rFonts w:asciiTheme="minorBidi" w:hAnsiTheme="minorBidi"/>
                <w:noProof/>
                <w:webHidden/>
                <w:sz w:val="28"/>
                <w:szCs w:val="28"/>
                <w:rtl/>
              </w:rPr>
              <w:fldChar w:fldCharType="end"/>
            </w:r>
          </w:hyperlink>
        </w:p>
        <w:p w:rsidR="00521B61" w:rsidRPr="0003289A" w:rsidRDefault="00521B61" w:rsidP="0003289A">
          <w:pPr>
            <w:bidi/>
            <w:spacing w:after="0" w:line="360" w:lineRule="auto"/>
            <w:jc w:val="both"/>
            <w:rPr>
              <w:rFonts w:asciiTheme="minorBidi" w:hAnsiTheme="minorBidi"/>
              <w:sz w:val="28"/>
              <w:szCs w:val="28"/>
              <w:rtl/>
            </w:rPr>
          </w:pPr>
          <w:r w:rsidRPr="0003289A">
            <w:rPr>
              <w:rFonts w:asciiTheme="minorBidi" w:hAnsiTheme="minorBidi"/>
              <w:b/>
              <w:bCs/>
              <w:noProof/>
              <w:sz w:val="28"/>
              <w:szCs w:val="28"/>
              <w:rtl/>
            </w:rPr>
            <w:fldChar w:fldCharType="end"/>
          </w:r>
        </w:p>
      </w:sdtContent>
    </w:sdt>
    <w:p w:rsidR="00A41F99" w:rsidRPr="0003289A" w:rsidRDefault="00A41F99" w:rsidP="0003289A">
      <w:pPr>
        <w:bidi/>
        <w:spacing w:after="0" w:line="360" w:lineRule="auto"/>
        <w:jc w:val="both"/>
        <w:rPr>
          <w:rFonts w:asciiTheme="minorBidi" w:hAnsiTheme="minorBidi"/>
          <w:sz w:val="28"/>
          <w:szCs w:val="28"/>
          <w:rtl/>
          <w:lang w:bidi="ar-EG"/>
        </w:rPr>
      </w:pPr>
    </w:p>
    <w:p w:rsidR="00521B61" w:rsidRPr="0003289A" w:rsidRDefault="00521B61" w:rsidP="0003289A">
      <w:pPr>
        <w:bidi/>
        <w:spacing w:after="0" w:line="360" w:lineRule="auto"/>
        <w:jc w:val="both"/>
        <w:rPr>
          <w:rFonts w:asciiTheme="minorBidi" w:hAnsiTheme="minorBidi"/>
          <w:sz w:val="28"/>
          <w:szCs w:val="28"/>
          <w:rtl/>
          <w:lang w:bidi="ar-EG"/>
        </w:rPr>
      </w:pPr>
    </w:p>
    <w:p w:rsidR="00521B61" w:rsidRPr="0003289A" w:rsidRDefault="00521B61" w:rsidP="0003289A">
      <w:pPr>
        <w:spacing w:line="360" w:lineRule="auto"/>
        <w:rPr>
          <w:rFonts w:asciiTheme="minorBidi" w:hAnsiTheme="minorBidi"/>
          <w:sz w:val="28"/>
          <w:szCs w:val="28"/>
          <w:rtl/>
          <w:lang w:bidi="ar-EG"/>
        </w:rPr>
      </w:pPr>
      <w:r w:rsidRPr="0003289A">
        <w:rPr>
          <w:rFonts w:asciiTheme="minorBidi" w:hAnsiTheme="minorBidi"/>
          <w:sz w:val="28"/>
          <w:szCs w:val="28"/>
          <w:rtl/>
          <w:lang w:bidi="ar-EG"/>
        </w:rPr>
        <w:br w:type="page"/>
      </w:r>
    </w:p>
    <w:p w:rsidR="00521B61" w:rsidRPr="0003289A" w:rsidRDefault="00521B61" w:rsidP="0003289A">
      <w:pPr>
        <w:pStyle w:val="Heading1"/>
        <w:spacing w:line="360" w:lineRule="auto"/>
        <w:rPr>
          <w:rFonts w:asciiTheme="minorBidi" w:hAnsiTheme="minorBidi" w:cstheme="minorBidi"/>
        </w:rPr>
      </w:pPr>
      <w:bookmarkStart w:id="0" w:name="_Toc82709007"/>
      <w:r w:rsidRPr="0003289A">
        <w:rPr>
          <w:rFonts w:asciiTheme="minorBidi" w:hAnsiTheme="minorBidi" w:cstheme="minorBidi"/>
          <w:rtl/>
        </w:rPr>
        <w:lastRenderedPageBreak/>
        <w:t>الخلفية العامة</w:t>
      </w:r>
      <w:bookmarkEnd w:id="0"/>
    </w:p>
    <w:p w:rsidR="00521B61" w:rsidRPr="0003289A" w:rsidRDefault="00534FB1"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يقدم هذا التقرير التطورات الاقتصادية الكلية في إقليم الكوميسا في العام 2020، وهو العام الذي تأثر سلبًا بوباء فيروس كورونا المستجد حيث يحلل التطورات في مؤشرات الأداء الاقتصادي الكلي الرئيسة في الإقليم ويقيم التطلعات متوسطة الأجل ويقدم التوصيات للإطار قصير إلى متوسط الأجل في ظل وباء فيروس كورونا المستجد كما يناقش المخاطر المتوقعة.</w:t>
      </w:r>
    </w:p>
    <w:p w:rsidR="00521B61" w:rsidRPr="0003289A" w:rsidRDefault="00521B61" w:rsidP="0003289A">
      <w:pPr>
        <w:bidi/>
        <w:spacing w:after="0" w:line="360" w:lineRule="auto"/>
        <w:jc w:val="both"/>
        <w:rPr>
          <w:rFonts w:asciiTheme="minorBidi" w:hAnsiTheme="minorBidi"/>
          <w:b/>
          <w:bCs/>
          <w:sz w:val="28"/>
          <w:szCs w:val="28"/>
          <w:lang w:bidi="ar-EG"/>
        </w:rPr>
      </w:pPr>
    </w:p>
    <w:p w:rsidR="00521B61" w:rsidRPr="0003289A" w:rsidRDefault="00521B61" w:rsidP="0003289A">
      <w:pPr>
        <w:pStyle w:val="Heading1"/>
        <w:spacing w:line="360" w:lineRule="auto"/>
        <w:rPr>
          <w:rFonts w:asciiTheme="minorBidi" w:hAnsiTheme="minorBidi" w:cstheme="minorBidi"/>
        </w:rPr>
      </w:pPr>
      <w:bookmarkStart w:id="1" w:name="_Toc82709008"/>
      <w:r w:rsidRPr="0003289A">
        <w:rPr>
          <w:rFonts w:asciiTheme="minorBidi" w:hAnsiTheme="minorBidi" w:cstheme="minorBidi"/>
          <w:rtl/>
        </w:rPr>
        <w:t>النمو</w:t>
      </w:r>
      <w:bookmarkEnd w:id="1"/>
    </w:p>
    <w:p w:rsidR="00521B61" w:rsidRPr="0003289A" w:rsidRDefault="008570A5"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انخفض متوسط نمو إقليم الكوميسا في عام 2020 بشكلٍ كبير حيث انكمش بنسبة -5.4% إلى 0.2% من 5.6% في عام 2019، ولكن من المتوقع أن ينتعش خلال السنوات </w:t>
      </w:r>
      <w:r w:rsidR="00874798" w:rsidRPr="0003289A">
        <w:rPr>
          <w:rFonts w:asciiTheme="minorBidi" w:hAnsiTheme="minorBidi"/>
          <w:sz w:val="28"/>
          <w:szCs w:val="28"/>
          <w:rtl/>
          <w:lang w:bidi="ar-EG"/>
        </w:rPr>
        <w:t>خارج هذا النطاق</w:t>
      </w:r>
      <w:r w:rsidRPr="0003289A">
        <w:rPr>
          <w:rFonts w:asciiTheme="minorBidi" w:hAnsiTheme="minorBidi"/>
          <w:sz w:val="28"/>
          <w:szCs w:val="28"/>
          <w:rtl/>
          <w:lang w:bidi="ar-EG"/>
        </w:rPr>
        <w:t xml:space="preserve"> إلى 4.3% و6.0% في العامين 2021 و2022 على التوالي، وهو ما يعزى إلى واقع أن النمو قد هبط بسبب المستويات السلبية في عدد من الدول الأعضاء للكوميسا.</w:t>
      </w:r>
    </w:p>
    <w:p w:rsidR="008570A5" w:rsidRPr="0003289A" w:rsidRDefault="008570A5"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وقد تأثر ناتج النمو في عام 2020 سلبًا بسبب الأزمة الصحية والاقتصادية الناتجة عن فيروس كورونا المستجد منذ بدء العام </w:t>
      </w:r>
      <w:r w:rsidR="00BB1963" w:rsidRPr="0003289A">
        <w:rPr>
          <w:rFonts w:asciiTheme="minorBidi" w:hAnsiTheme="minorBidi"/>
          <w:sz w:val="28"/>
          <w:szCs w:val="28"/>
          <w:rtl/>
          <w:lang w:bidi="ar-EG"/>
        </w:rPr>
        <w:t>قيد المراجعة ب</w:t>
      </w:r>
      <w:r w:rsidRPr="0003289A">
        <w:rPr>
          <w:rFonts w:asciiTheme="minorBidi" w:hAnsiTheme="minorBidi"/>
          <w:sz w:val="28"/>
          <w:szCs w:val="28"/>
          <w:rtl/>
          <w:lang w:bidi="ar-EG"/>
        </w:rPr>
        <w:t>ما يلي على سبيل المثال لا الحصر: (1) أثر تدابير الاحتواء –الحجر الصحي والإغلاق والقيود على السفر وغلق الحدود وإلغاء التجمعات العامة وغلق المدارس والجامعات والعمل عن بعد وانخفاض الطلب العالمي و</w:t>
      </w:r>
      <w:r w:rsidR="001A4C1A" w:rsidRPr="0003289A">
        <w:rPr>
          <w:rFonts w:asciiTheme="minorBidi" w:hAnsiTheme="minorBidi"/>
          <w:sz w:val="28"/>
          <w:szCs w:val="28"/>
          <w:rtl/>
          <w:lang w:bidi="ar-EG"/>
        </w:rPr>
        <w:t xml:space="preserve">الكميات الفائضة الإقليمية مما نتج عنه هبوط سريع في التجارة والسياحة، و(2) القيود المالية الخارجية التي تضم التدفقات الخارجة والانخفاضات الحادة في </w:t>
      </w:r>
      <w:r w:rsidR="00A347F0" w:rsidRPr="0003289A">
        <w:rPr>
          <w:rFonts w:asciiTheme="minorBidi" w:hAnsiTheme="minorBidi"/>
          <w:sz w:val="28"/>
          <w:szCs w:val="28"/>
          <w:rtl/>
          <w:lang w:bidi="ar-EG"/>
        </w:rPr>
        <w:t xml:space="preserve">تدفقات رأس المال </w:t>
      </w:r>
      <w:r w:rsidR="001A4C1A" w:rsidRPr="0003289A">
        <w:rPr>
          <w:rFonts w:asciiTheme="minorBidi" w:hAnsiTheme="minorBidi"/>
          <w:sz w:val="28"/>
          <w:szCs w:val="28"/>
          <w:rtl/>
          <w:lang w:bidi="ar-EG"/>
        </w:rPr>
        <w:t xml:space="preserve">والتحويلات ذات الآثار </w:t>
      </w:r>
      <w:r w:rsidR="00D21443" w:rsidRPr="0003289A">
        <w:rPr>
          <w:rFonts w:asciiTheme="minorBidi" w:hAnsiTheme="minorBidi"/>
          <w:sz w:val="28"/>
          <w:szCs w:val="28"/>
          <w:rtl/>
          <w:lang w:bidi="ar-EG"/>
        </w:rPr>
        <w:t xml:space="preserve">على </w:t>
      </w:r>
      <w:r w:rsidR="00F93DC6" w:rsidRPr="0003289A">
        <w:rPr>
          <w:rFonts w:asciiTheme="minorBidi" w:hAnsiTheme="minorBidi"/>
          <w:sz w:val="28"/>
          <w:szCs w:val="28"/>
          <w:rtl/>
          <w:lang w:bidi="ar-EG"/>
        </w:rPr>
        <w:t xml:space="preserve">أسعار الصرف </w:t>
      </w:r>
      <w:r w:rsidR="00D21443" w:rsidRPr="0003289A">
        <w:rPr>
          <w:rFonts w:asciiTheme="minorBidi" w:hAnsiTheme="minorBidi"/>
          <w:sz w:val="28"/>
          <w:szCs w:val="28"/>
          <w:rtl/>
          <w:lang w:bidi="ar-EG"/>
        </w:rPr>
        <w:t>وتأجيل إصدار السندات المخطط لها، و(3) أثر الصدمات المتعددة خصوصًا آثار الفيضانات وغزو الجراد وانهيار أسعار السلع. وعلى الرغم من ذلك يبدو أن النمو المرن في بعض الدول قد استفاد من تحسين أساسيات النمو، وخصوصًا التحول التدريجي من الاستهلاك الخاص إلى الاستثمار والتصدير مما خفف من الموجات السلبية المصاحبة لفيروس كورونا المستجد.</w:t>
      </w:r>
    </w:p>
    <w:p w:rsidR="00692338" w:rsidRPr="0003289A" w:rsidRDefault="00D21443"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ومع قدوم الموجة الثانية من وباء فيروس كورونا المستجد الذي سريعًا ما تجاوز مقياس وسرعة الموجة الأولى حيث </w:t>
      </w:r>
      <w:r w:rsidR="00692338" w:rsidRPr="0003289A">
        <w:rPr>
          <w:rFonts w:asciiTheme="minorBidi" w:hAnsiTheme="minorBidi"/>
          <w:sz w:val="28"/>
          <w:szCs w:val="28"/>
          <w:rtl/>
          <w:lang w:bidi="ar-EG"/>
        </w:rPr>
        <w:t xml:space="preserve">تراجع </w:t>
      </w:r>
      <w:r w:rsidRPr="0003289A">
        <w:rPr>
          <w:rFonts w:asciiTheme="minorBidi" w:hAnsiTheme="minorBidi"/>
          <w:sz w:val="28"/>
          <w:szCs w:val="28"/>
          <w:rtl/>
          <w:lang w:bidi="ar-EG"/>
        </w:rPr>
        <w:t xml:space="preserve">إلى حد ما في مجموعة واسعة من </w:t>
      </w:r>
      <w:r w:rsidR="00692338"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في </w:t>
      </w:r>
      <w:r w:rsidR="00692338" w:rsidRPr="0003289A">
        <w:rPr>
          <w:rFonts w:asciiTheme="minorBidi" w:hAnsiTheme="minorBidi"/>
          <w:sz w:val="28"/>
          <w:szCs w:val="28"/>
          <w:rtl/>
          <w:lang w:bidi="ar-EG"/>
        </w:rPr>
        <w:t>الإقليم</w:t>
      </w:r>
      <w:r w:rsidRPr="0003289A">
        <w:rPr>
          <w:rFonts w:asciiTheme="minorBidi" w:hAnsiTheme="minorBidi"/>
          <w:sz w:val="28"/>
          <w:szCs w:val="28"/>
          <w:rtl/>
          <w:lang w:bidi="ar-EG"/>
        </w:rPr>
        <w:t xml:space="preserve">، ويمكن أن تستعد </w:t>
      </w:r>
      <w:r w:rsidR="00692338"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لمزيد من الموجات حيث لا </w:t>
      </w:r>
      <w:r w:rsidR="00692338" w:rsidRPr="0003289A">
        <w:rPr>
          <w:rFonts w:asciiTheme="minorBidi" w:hAnsiTheme="minorBidi"/>
          <w:sz w:val="28"/>
          <w:szCs w:val="28"/>
          <w:rtl/>
          <w:lang w:bidi="ar-EG"/>
        </w:rPr>
        <w:t>يزال الوصول إلى اللقاحات شحيحًا.</w:t>
      </w:r>
      <w:r w:rsidRPr="0003289A">
        <w:rPr>
          <w:rFonts w:asciiTheme="minorBidi" w:hAnsiTheme="minorBidi"/>
          <w:sz w:val="28"/>
          <w:szCs w:val="28"/>
          <w:rtl/>
          <w:lang w:bidi="ar-EG"/>
        </w:rPr>
        <w:t xml:space="preserve"> </w:t>
      </w:r>
      <w:r w:rsidR="00692338" w:rsidRPr="0003289A">
        <w:rPr>
          <w:rFonts w:asciiTheme="minorBidi" w:hAnsiTheme="minorBidi"/>
          <w:sz w:val="28"/>
          <w:szCs w:val="28"/>
          <w:rtl/>
          <w:lang w:bidi="ar-EG"/>
        </w:rPr>
        <w:t>ف</w:t>
      </w:r>
      <w:r w:rsidRPr="0003289A">
        <w:rPr>
          <w:rFonts w:asciiTheme="minorBidi" w:hAnsiTheme="minorBidi"/>
          <w:sz w:val="28"/>
          <w:szCs w:val="28"/>
          <w:rtl/>
          <w:lang w:bidi="ar-EG"/>
        </w:rPr>
        <w:t xml:space="preserve">تظهر توقعات صندوق النقد الدولي لشهر أبريل 2021 أن متوسط النمو في </w:t>
      </w:r>
      <w:r w:rsidR="00692338" w:rsidRPr="0003289A">
        <w:rPr>
          <w:rFonts w:asciiTheme="minorBidi" w:hAnsiTheme="minorBidi"/>
          <w:sz w:val="28"/>
          <w:szCs w:val="28"/>
          <w:rtl/>
          <w:lang w:bidi="ar-EG"/>
        </w:rPr>
        <w:t xml:space="preserve">إقليم </w:t>
      </w:r>
      <w:r w:rsidRPr="0003289A">
        <w:rPr>
          <w:rFonts w:asciiTheme="minorBidi" w:hAnsiTheme="minorBidi"/>
          <w:sz w:val="28"/>
          <w:szCs w:val="28"/>
          <w:rtl/>
          <w:lang w:bidi="ar-EG"/>
        </w:rPr>
        <w:t>الكوميسا سينتعش إلى 4.3</w:t>
      </w:r>
      <w:r w:rsidR="00692338"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 2021 وما بعده 6.0</w:t>
      </w:r>
      <w:r w:rsidR="00692338"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 2022</w:t>
      </w:r>
      <w:r w:rsidR="00692338" w:rsidRPr="0003289A">
        <w:rPr>
          <w:rFonts w:asciiTheme="minorBidi" w:hAnsiTheme="minorBidi"/>
          <w:sz w:val="28"/>
          <w:szCs w:val="28"/>
          <w:rtl/>
          <w:lang w:bidi="ar-EG"/>
        </w:rPr>
        <w:t xml:space="preserve"> </w:t>
      </w:r>
      <w:r w:rsidR="00692338" w:rsidRPr="0003289A">
        <w:rPr>
          <w:rFonts w:asciiTheme="minorBidi" w:hAnsiTheme="minorBidi"/>
          <w:b/>
          <w:bCs/>
          <w:sz w:val="28"/>
          <w:szCs w:val="28"/>
          <w:rtl/>
          <w:lang w:bidi="ar-EG"/>
        </w:rPr>
        <w:t>(الشكل 1)</w:t>
      </w:r>
      <w:r w:rsidR="00692338" w:rsidRPr="0003289A">
        <w:rPr>
          <w:rFonts w:asciiTheme="minorBidi" w:hAnsiTheme="minorBidi"/>
          <w:sz w:val="28"/>
          <w:szCs w:val="28"/>
          <w:rtl/>
          <w:lang w:bidi="ar-EG"/>
        </w:rPr>
        <w:t>.</w:t>
      </w:r>
    </w:p>
    <w:p w:rsidR="00692338" w:rsidRPr="0003289A" w:rsidRDefault="00692338" w:rsidP="0003289A">
      <w:pPr>
        <w:bidi/>
        <w:spacing w:after="0" w:line="360" w:lineRule="auto"/>
        <w:jc w:val="both"/>
        <w:rPr>
          <w:rFonts w:asciiTheme="minorBidi" w:hAnsiTheme="minorBidi"/>
          <w:sz w:val="28"/>
          <w:szCs w:val="28"/>
          <w:rtl/>
          <w:lang w:bidi="ar-EG"/>
        </w:rPr>
      </w:pPr>
    </w:p>
    <w:p w:rsidR="00692338" w:rsidRPr="0003289A" w:rsidRDefault="00692338"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الشكل 1: متوسط النمو الحقيقي لإجمالي الناتج المحلي في الكوميسا (نسبة التغيير على مدار السنوات)</w:t>
      </w:r>
    </w:p>
    <w:p w:rsidR="00534FB1" w:rsidRPr="0003289A" w:rsidRDefault="00692338" w:rsidP="0003289A">
      <w:pPr>
        <w:bidi/>
        <w:spacing w:after="0" w:line="360" w:lineRule="auto"/>
        <w:jc w:val="center"/>
        <w:rPr>
          <w:rFonts w:asciiTheme="minorBidi" w:hAnsiTheme="minorBidi"/>
          <w:b/>
          <w:bCs/>
          <w:sz w:val="28"/>
          <w:szCs w:val="28"/>
          <w:rtl/>
          <w:lang w:bidi="ar-EG"/>
        </w:rPr>
      </w:pPr>
      <w:r w:rsidRPr="0003289A">
        <w:rPr>
          <w:rFonts w:asciiTheme="minorBidi" w:hAnsiTheme="minorBidi"/>
          <w:noProof/>
        </w:rPr>
        <w:lastRenderedPageBreak/>
        <w:drawing>
          <wp:inline distT="0" distB="0" distL="0" distR="0" wp14:anchorId="3D3BCE33" wp14:editId="3A624D79">
            <wp:extent cx="5623560" cy="2179320"/>
            <wp:effectExtent l="0" t="0" r="1524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2338" w:rsidRPr="0003289A" w:rsidRDefault="00697D9E" w:rsidP="0003289A">
      <w:pPr>
        <w:bidi/>
        <w:spacing w:after="0" w:line="360" w:lineRule="auto"/>
        <w:jc w:val="both"/>
        <w:rPr>
          <w:rFonts w:asciiTheme="minorBidi" w:hAnsiTheme="minorBidi"/>
          <w:b/>
          <w:bCs/>
          <w:sz w:val="28"/>
          <w:szCs w:val="28"/>
          <w:rtl/>
          <w:lang w:bidi="ar-EG"/>
        </w:rPr>
      </w:pPr>
      <w:r w:rsidRPr="0003289A">
        <w:rPr>
          <w:rFonts w:asciiTheme="minorBidi" w:hAnsiTheme="minorBidi"/>
          <w:b/>
          <w:bCs/>
          <w:sz w:val="28"/>
          <w:szCs w:val="28"/>
          <w:rtl/>
          <w:lang w:bidi="ar-EG"/>
        </w:rPr>
        <w:t xml:space="preserve">المصدر: </w:t>
      </w:r>
      <w:r w:rsidR="0063146D" w:rsidRPr="0003289A">
        <w:rPr>
          <w:rFonts w:asciiTheme="minorBidi" w:hAnsiTheme="minorBidi"/>
          <w:b/>
          <w:bCs/>
          <w:sz w:val="28"/>
          <w:szCs w:val="28"/>
          <w:rtl/>
          <w:lang w:bidi="ar-EG"/>
        </w:rPr>
        <w:t xml:space="preserve">آفاق الاقتصاد الإقليمي لأفريقيا جنوب الصحراء بواسطة </w:t>
      </w:r>
      <w:r w:rsidRPr="0003289A">
        <w:rPr>
          <w:rFonts w:asciiTheme="minorBidi" w:hAnsiTheme="minorBidi"/>
          <w:b/>
          <w:bCs/>
          <w:sz w:val="28"/>
          <w:szCs w:val="28"/>
          <w:rtl/>
          <w:lang w:bidi="ar-EG"/>
        </w:rPr>
        <w:t xml:space="preserve">صندوق النقد الدولي </w:t>
      </w:r>
      <w:r w:rsidR="0063146D" w:rsidRPr="0003289A">
        <w:rPr>
          <w:rFonts w:asciiTheme="minorBidi" w:hAnsiTheme="minorBidi"/>
          <w:b/>
          <w:bCs/>
          <w:sz w:val="28"/>
          <w:szCs w:val="28"/>
          <w:rtl/>
          <w:lang w:bidi="ar-EG"/>
        </w:rPr>
        <w:t>–أبريل 2021</w:t>
      </w:r>
    </w:p>
    <w:p w:rsidR="0063146D" w:rsidRPr="0003289A" w:rsidRDefault="0063146D" w:rsidP="0003289A">
      <w:pPr>
        <w:bidi/>
        <w:spacing w:after="0" w:line="360" w:lineRule="auto"/>
        <w:jc w:val="both"/>
        <w:rPr>
          <w:rFonts w:asciiTheme="minorBidi" w:hAnsiTheme="minorBidi"/>
          <w:b/>
          <w:bCs/>
          <w:sz w:val="28"/>
          <w:szCs w:val="28"/>
          <w:lang w:bidi="ar-EG"/>
        </w:rPr>
      </w:pPr>
    </w:p>
    <w:p w:rsidR="00692338" w:rsidRPr="0003289A" w:rsidRDefault="0063146D"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ويقوم التعافي في توقعات النمو على: (أ) التفاؤل حول تعافي الاقتصاد العالمي مدفوعًا بشكلٍ كبير بتعزيز جهود التلقيح ضد فيروس كورونا المستجد في الاقتصادات المتقدمة والمستوى الاستثنائي لدعم السياسة –المحفز المالي واستمرار التكيف من قبل البنوك المركزية مع فوائض محتملة للإقليم في صيغة زيادة التجارة وارتفاع أسعار السلع ومواصلة </w:t>
      </w:r>
      <w:r w:rsidR="00A347F0" w:rsidRPr="0003289A">
        <w:rPr>
          <w:rFonts w:asciiTheme="minorBidi" w:hAnsiTheme="minorBidi"/>
          <w:sz w:val="28"/>
          <w:szCs w:val="28"/>
          <w:rtl/>
          <w:lang w:bidi="ar-EG"/>
        </w:rPr>
        <w:t>تدفقات رأس المال</w:t>
      </w:r>
      <w:r w:rsidRPr="0003289A">
        <w:rPr>
          <w:rFonts w:asciiTheme="minorBidi" w:hAnsiTheme="minorBidi"/>
          <w:sz w:val="28"/>
          <w:szCs w:val="28"/>
          <w:rtl/>
          <w:lang w:bidi="ar-EG"/>
        </w:rPr>
        <w:t>، و(ب) تعافي أسعار السلع وطلبات الشركات حول العالم، وخصوصًا الصين مع التعافي الاستهلاك الخاص والاستثمار. وبالفعل، قفزت أسعار النفط إلى 67 دولارًا أمريكيًا للبرميل في شهر مارس 2021 من 27 دولارًا أمريكيًا للبرميل في شهر أبريل 2020 مما يعكس بشكلٍ جزئي تحسن الطلب العالمي، و(ج) الظروف المالية العالمية التكيفية واسعة النطاق –مع مراعاة أسعار الفائدة العالمية المنخفضة وحالات الانتشار. فيجب أن يدعم هذا مواصلة التأمينات السيادية في الإقليم.</w:t>
      </w:r>
    </w:p>
    <w:p w:rsidR="0063146D" w:rsidRPr="0003289A" w:rsidRDefault="005E35BB"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ومن الآن فصاعدًا</w:t>
      </w:r>
      <w:r w:rsidR="0063146D" w:rsidRPr="0003289A">
        <w:rPr>
          <w:rFonts w:asciiTheme="minorBidi" w:hAnsiTheme="minorBidi"/>
          <w:sz w:val="28"/>
          <w:szCs w:val="28"/>
          <w:rtl/>
          <w:lang w:bidi="ar-EG"/>
        </w:rPr>
        <w:t xml:space="preserve">، يتمحور الشغل الشاغل للإقليم حول احتواء انتشار فيروس كورونا المستجد مع فتح اقتصادات إقليم الكوميسا. </w:t>
      </w:r>
      <w:r w:rsidR="00BB1963" w:rsidRPr="0003289A">
        <w:rPr>
          <w:rFonts w:asciiTheme="minorBidi" w:hAnsiTheme="minorBidi"/>
          <w:sz w:val="28"/>
          <w:szCs w:val="28"/>
          <w:rtl/>
          <w:lang w:bidi="ar-EG"/>
        </w:rPr>
        <w:t>إن تحقيق التوازن بين الهدفين المتعارضين تقريبًا سيقطع شوطًا طويلًا في تحديد سرعة ومدى الانتعاش الاقتصادي والعودة إلى الحياة الطبيعية. وسيعتمد مفتاح تحقيق التوازن الصحيح على مدى فاعلية وكفاءة الحكومات في الإقليم مع استمرارها في تنفيذ تدابير الصحة العامة ومدى تكيف الجمهور معها. ومن بين هذه التدابير الرئيسة على سبيل المثال لا الحصر الإطلاق السريع للقاح فيروس كورونا المستجد وتعزيز حملة التوعية بالتمنيع والاستيعاب والالتزام بإجراءات التشغيل القياسية لمنظمة الصحة العالمية والاختبار الشامل والعزل والحجر الصحي للحالات التي تم تحديدها.</w:t>
      </w:r>
    </w:p>
    <w:p w:rsidR="00692338" w:rsidRPr="0003289A" w:rsidRDefault="00692338" w:rsidP="0003289A">
      <w:pPr>
        <w:bidi/>
        <w:spacing w:after="0" w:line="360" w:lineRule="auto"/>
        <w:jc w:val="both"/>
        <w:rPr>
          <w:rFonts w:asciiTheme="minorBidi" w:hAnsiTheme="minorBidi"/>
          <w:b/>
          <w:bCs/>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2" w:name="_Toc82709009"/>
      <w:r w:rsidRPr="0003289A">
        <w:rPr>
          <w:rFonts w:asciiTheme="minorBidi" w:hAnsiTheme="minorBidi" w:cstheme="minorBidi"/>
          <w:rtl/>
        </w:rPr>
        <w:t>معدل التضخم</w:t>
      </w:r>
      <w:bookmarkEnd w:id="2"/>
    </w:p>
    <w:p w:rsidR="00521B61" w:rsidRPr="0003289A" w:rsidRDefault="00BB1963"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lastRenderedPageBreak/>
        <w:t xml:space="preserve">وقد زاد متوسط معدل التضخم الواسع لإقليم الكوميسا إلى 19.1% في عام 2020 من 13.5% في عام 2019 و9.5% في عام 2018، ولكن من المتوقع أن ينتعش إلى حد ما إلى 11.4% في عام 2021 و7.4% في عام 2022 </w:t>
      </w:r>
      <w:r w:rsidRPr="0003289A">
        <w:rPr>
          <w:rFonts w:asciiTheme="minorBidi" w:hAnsiTheme="minorBidi"/>
          <w:b/>
          <w:bCs/>
          <w:sz w:val="28"/>
          <w:szCs w:val="28"/>
          <w:rtl/>
          <w:lang w:bidi="ar-EG"/>
        </w:rPr>
        <w:t>(الشكل 2)</w:t>
      </w:r>
      <w:r w:rsidRPr="0003289A">
        <w:rPr>
          <w:rFonts w:asciiTheme="minorBidi" w:hAnsiTheme="minorBidi"/>
          <w:sz w:val="28"/>
          <w:szCs w:val="28"/>
          <w:rtl/>
          <w:lang w:bidi="ar-EG"/>
        </w:rPr>
        <w:t>. ويعكس ارتفاع التضخم خلال السنة قيد المراجعة ما يلي:</w:t>
      </w:r>
    </w:p>
    <w:p w:rsidR="00BB1963" w:rsidRPr="0003289A" w:rsidRDefault="00BB1963" w:rsidP="0003289A">
      <w:pPr>
        <w:pStyle w:val="ListParagraph"/>
        <w:numPr>
          <w:ilvl w:val="0"/>
          <w:numId w:val="39"/>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الأسعار المرتفعة للطعام بسبب تدابير العزل والاحتواء التي أثرت على سلاسل إمداد الطعام العالمية والإقليمية والمحلية مما ينتج عنه ندرة الطعام المستورد والمنتج محليًا.</w:t>
      </w:r>
    </w:p>
    <w:p w:rsidR="00BB1963" w:rsidRPr="0003289A" w:rsidRDefault="00BB1963" w:rsidP="0003289A">
      <w:pPr>
        <w:pStyle w:val="ListParagraph"/>
        <w:numPr>
          <w:ilvl w:val="0"/>
          <w:numId w:val="39"/>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تأثير انخفاض قيمة العملة بسبب الانخفاض الحاد في أسعار السلع التي تهدد أرباح النقد الأجنبي وممارسة ضغوط تضخمية على العملات الأجنبية.</w:t>
      </w:r>
    </w:p>
    <w:p w:rsidR="00BB1963" w:rsidRPr="0003289A" w:rsidRDefault="00BB1963" w:rsidP="0003289A">
      <w:pPr>
        <w:pStyle w:val="ListParagraph"/>
        <w:numPr>
          <w:ilvl w:val="0"/>
          <w:numId w:val="39"/>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انتعاش أسعار الطاقة قرب نهاية العام.</w:t>
      </w:r>
    </w:p>
    <w:p w:rsidR="00BB1963" w:rsidRPr="0003289A" w:rsidRDefault="00BB1963"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ومن المتوقع أن ينخفض معدل التضخم في عامي 2021 و2022، ويرجع ذلك إلى حد كبير إلى الزيادات المتوقعة في الإمدادات الغذائية مدفوعة بالطقس الجيد المتوقع وارتفاع سعر الصرف مدعومًا باستئناف تدفقات رأس المال الوافدة بسبب البيئة الخارجية الأكثر ازدهارًا.</w:t>
      </w:r>
    </w:p>
    <w:p w:rsidR="00BB1963" w:rsidRPr="0003289A" w:rsidRDefault="00A347F0"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الشكل 2: متوسط أسعار الاستهلاك في الكوميسا (المتوسط السنوي، نسبة التغيير)</w:t>
      </w:r>
    </w:p>
    <w:p w:rsidR="00A347F0" w:rsidRPr="0003289A" w:rsidRDefault="00A96D68" w:rsidP="0003289A">
      <w:pPr>
        <w:bidi/>
        <w:spacing w:after="0" w:line="360" w:lineRule="auto"/>
        <w:jc w:val="center"/>
        <w:rPr>
          <w:rFonts w:asciiTheme="minorBidi" w:hAnsiTheme="minorBidi"/>
          <w:sz w:val="28"/>
          <w:szCs w:val="28"/>
          <w:rtl/>
          <w:lang w:bidi="ar-EG"/>
        </w:rPr>
      </w:pPr>
      <w:r w:rsidRPr="0003289A">
        <w:rPr>
          <w:rFonts w:asciiTheme="minorBidi" w:hAnsiTheme="minorBidi"/>
          <w:noProof/>
        </w:rPr>
        <w:drawing>
          <wp:inline distT="0" distB="0" distL="0" distR="0" wp14:anchorId="736732A3" wp14:editId="590E9C10">
            <wp:extent cx="5494020" cy="2156460"/>
            <wp:effectExtent l="0" t="0" r="1143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6D68" w:rsidRPr="0003289A" w:rsidRDefault="00A96D68" w:rsidP="0003289A">
      <w:pPr>
        <w:bidi/>
        <w:spacing w:after="0" w:line="360" w:lineRule="auto"/>
        <w:jc w:val="both"/>
        <w:rPr>
          <w:rFonts w:asciiTheme="minorBidi" w:hAnsiTheme="minorBidi"/>
          <w:b/>
          <w:bCs/>
          <w:sz w:val="28"/>
          <w:szCs w:val="28"/>
          <w:rtl/>
          <w:lang w:bidi="ar-EG"/>
        </w:rPr>
      </w:pPr>
      <w:r w:rsidRPr="0003289A">
        <w:rPr>
          <w:rFonts w:asciiTheme="minorBidi" w:hAnsiTheme="minorBidi"/>
          <w:b/>
          <w:bCs/>
          <w:sz w:val="28"/>
          <w:szCs w:val="28"/>
          <w:rtl/>
          <w:lang w:bidi="ar-EG"/>
        </w:rPr>
        <w:t>المصدر: آفاق الاقتصاد الإقليمي لأفريقيا جنوب الصحراء بواسطة صندوق النقد الدولي –أبريل 2021</w:t>
      </w:r>
    </w:p>
    <w:p w:rsidR="00A96D68" w:rsidRPr="0003289A" w:rsidRDefault="00A96D68" w:rsidP="0003289A">
      <w:pPr>
        <w:bidi/>
        <w:spacing w:after="0" w:line="360" w:lineRule="auto"/>
        <w:jc w:val="both"/>
        <w:rPr>
          <w:rFonts w:asciiTheme="minorBidi" w:hAnsiTheme="minorBidi"/>
          <w:sz w:val="28"/>
          <w:szCs w:val="28"/>
          <w:lang w:bidi="ar-EG"/>
        </w:rPr>
      </w:pPr>
    </w:p>
    <w:p w:rsidR="00521B61" w:rsidRPr="0003289A" w:rsidRDefault="00521B61" w:rsidP="0003289A">
      <w:pPr>
        <w:pStyle w:val="Heading1"/>
        <w:spacing w:line="360" w:lineRule="auto"/>
        <w:rPr>
          <w:rFonts w:asciiTheme="minorBidi" w:hAnsiTheme="minorBidi" w:cstheme="minorBidi"/>
          <w:rtl/>
        </w:rPr>
      </w:pPr>
      <w:bookmarkStart w:id="3" w:name="_Toc82709010"/>
      <w:r w:rsidRPr="0003289A">
        <w:rPr>
          <w:rFonts w:asciiTheme="minorBidi" w:hAnsiTheme="minorBidi" w:cstheme="minorBidi"/>
          <w:rtl/>
        </w:rPr>
        <w:t xml:space="preserve">السياسة النقدية وتطورات </w:t>
      </w:r>
      <w:bookmarkEnd w:id="3"/>
      <w:r w:rsidR="00F93DC6" w:rsidRPr="0003289A">
        <w:rPr>
          <w:rFonts w:asciiTheme="minorBidi" w:hAnsiTheme="minorBidi" w:cstheme="minorBidi"/>
          <w:rtl/>
        </w:rPr>
        <w:t>أسعار الصرف</w:t>
      </w:r>
    </w:p>
    <w:p w:rsidR="00A96D68" w:rsidRPr="0003289A" w:rsidRDefault="00A96D68"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خلال العام الذي </w:t>
      </w:r>
      <w:r w:rsidR="00F93DC6" w:rsidRPr="0003289A">
        <w:rPr>
          <w:rFonts w:asciiTheme="minorBidi" w:hAnsiTheme="minorBidi"/>
          <w:sz w:val="28"/>
          <w:szCs w:val="28"/>
          <w:rtl/>
          <w:lang w:bidi="ar-EG"/>
        </w:rPr>
        <w:t xml:space="preserve">حل </w:t>
      </w:r>
      <w:r w:rsidRPr="0003289A">
        <w:rPr>
          <w:rFonts w:asciiTheme="minorBidi" w:hAnsiTheme="minorBidi"/>
          <w:sz w:val="28"/>
          <w:szCs w:val="28"/>
          <w:rtl/>
          <w:lang w:bidi="ar-EG"/>
        </w:rPr>
        <w:t xml:space="preserve">فيه </w:t>
      </w:r>
      <w:r w:rsidR="00F93DC6"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w:t>
      </w:r>
      <w:r w:rsidR="00F93DC6" w:rsidRPr="0003289A">
        <w:rPr>
          <w:rFonts w:asciiTheme="minorBidi" w:hAnsiTheme="minorBidi"/>
          <w:sz w:val="28"/>
          <w:szCs w:val="28"/>
          <w:rtl/>
          <w:lang w:bidi="ar-EG"/>
        </w:rPr>
        <w:t xml:space="preserve">استمر </w:t>
      </w:r>
      <w:r w:rsidRPr="0003289A">
        <w:rPr>
          <w:rFonts w:asciiTheme="minorBidi" w:hAnsiTheme="minorBidi"/>
          <w:sz w:val="28"/>
          <w:szCs w:val="28"/>
          <w:rtl/>
          <w:lang w:bidi="ar-EG"/>
        </w:rPr>
        <w:t xml:space="preserve">عدد من البنوك المركزية في </w:t>
      </w:r>
      <w:r w:rsidR="00F93DC6" w:rsidRPr="0003289A">
        <w:rPr>
          <w:rFonts w:asciiTheme="minorBidi" w:hAnsiTheme="minorBidi"/>
          <w:sz w:val="28"/>
          <w:szCs w:val="28"/>
          <w:rtl/>
          <w:lang w:bidi="ar-EG"/>
        </w:rPr>
        <w:t>الإقليم في دعمهم إلى حد كبير –</w:t>
      </w:r>
      <w:r w:rsidRPr="0003289A">
        <w:rPr>
          <w:rFonts w:asciiTheme="minorBidi" w:hAnsiTheme="minorBidi"/>
          <w:sz w:val="28"/>
          <w:szCs w:val="28"/>
          <w:rtl/>
          <w:lang w:bidi="ar-EG"/>
        </w:rPr>
        <w:t>بما في ذلك تحويل الأو</w:t>
      </w:r>
      <w:r w:rsidR="00F93DC6" w:rsidRPr="0003289A">
        <w:rPr>
          <w:rFonts w:asciiTheme="minorBidi" w:hAnsiTheme="minorBidi"/>
          <w:sz w:val="28"/>
          <w:szCs w:val="28"/>
          <w:rtl/>
          <w:lang w:bidi="ar-EG"/>
        </w:rPr>
        <w:t>لوية إلى هدف إدارة الأزمات بدلًا</w:t>
      </w:r>
      <w:r w:rsidRPr="0003289A">
        <w:rPr>
          <w:rFonts w:asciiTheme="minorBidi" w:hAnsiTheme="minorBidi"/>
          <w:sz w:val="28"/>
          <w:szCs w:val="28"/>
          <w:rtl/>
          <w:lang w:bidi="ar-EG"/>
        </w:rPr>
        <w:t xml:space="preserve"> من الاستقرار الصارم للأسعار. </w:t>
      </w:r>
      <w:r w:rsidR="00F93DC6" w:rsidRPr="0003289A">
        <w:rPr>
          <w:rFonts w:asciiTheme="minorBidi" w:hAnsiTheme="minorBidi"/>
          <w:sz w:val="28"/>
          <w:szCs w:val="28"/>
          <w:rtl/>
          <w:lang w:bidi="ar-EG"/>
        </w:rPr>
        <w:t>و</w:t>
      </w:r>
      <w:r w:rsidRPr="0003289A">
        <w:rPr>
          <w:rFonts w:asciiTheme="minorBidi" w:hAnsiTheme="minorBidi"/>
          <w:sz w:val="28"/>
          <w:szCs w:val="28"/>
          <w:rtl/>
          <w:lang w:bidi="ar-EG"/>
        </w:rPr>
        <w:t xml:space="preserve">اتبعت معظم البنوك المركزية موقف السياسة النقدية </w:t>
      </w:r>
      <w:r w:rsidR="00F93DC6" w:rsidRPr="0003289A">
        <w:rPr>
          <w:rFonts w:asciiTheme="minorBidi" w:hAnsiTheme="minorBidi"/>
          <w:sz w:val="28"/>
          <w:szCs w:val="28"/>
          <w:rtl/>
          <w:lang w:bidi="ar-EG"/>
        </w:rPr>
        <w:t>التكيفية</w:t>
      </w:r>
      <w:r w:rsidRPr="0003289A">
        <w:rPr>
          <w:rFonts w:asciiTheme="minorBidi" w:hAnsiTheme="minorBidi"/>
          <w:sz w:val="28"/>
          <w:szCs w:val="28"/>
          <w:rtl/>
          <w:lang w:bidi="ar-EG"/>
        </w:rPr>
        <w:t xml:space="preserve"> وسمحت لسعر الصرف بالانخفاض أثناء إجراء تدخلات في العملات الأجنبية لتهدئة التق</w:t>
      </w:r>
      <w:r w:rsidR="00F93DC6" w:rsidRPr="0003289A">
        <w:rPr>
          <w:rFonts w:asciiTheme="minorBidi" w:hAnsiTheme="minorBidi"/>
          <w:sz w:val="28"/>
          <w:szCs w:val="28"/>
          <w:rtl/>
          <w:lang w:bidi="ar-EG"/>
        </w:rPr>
        <w:t>لبات المضطربة. بالإضافة إلى ذلك</w:t>
      </w:r>
      <w:r w:rsidRPr="0003289A">
        <w:rPr>
          <w:rFonts w:asciiTheme="minorBidi" w:hAnsiTheme="minorBidi"/>
          <w:sz w:val="28"/>
          <w:szCs w:val="28"/>
          <w:rtl/>
          <w:lang w:bidi="ar-EG"/>
        </w:rPr>
        <w:t>، خففت متطلبات الاحتياطي والاحتياطي لرأس المال للبنوك في محاولة لتعزي</w:t>
      </w:r>
      <w:r w:rsidR="00F93DC6" w:rsidRPr="0003289A">
        <w:rPr>
          <w:rFonts w:asciiTheme="minorBidi" w:hAnsiTheme="minorBidi"/>
          <w:sz w:val="28"/>
          <w:szCs w:val="28"/>
          <w:rtl/>
          <w:lang w:bidi="ar-EG"/>
        </w:rPr>
        <w:t>ز احتياجاتها اليومية من السيولة</w:t>
      </w:r>
      <w:r w:rsidRPr="0003289A">
        <w:rPr>
          <w:rFonts w:asciiTheme="minorBidi" w:hAnsiTheme="minorBidi"/>
          <w:sz w:val="28"/>
          <w:szCs w:val="28"/>
          <w:rtl/>
          <w:lang w:bidi="ar-EG"/>
        </w:rPr>
        <w:t xml:space="preserve">، وسمحت للبنوك التجارية بإعادة هيكلة القروض المعلقة للمقترضين الذين يواجهون تحديات تدفق </w:t>
      </w:r>
      <w:r w:rsidRPr="0003289A">
        <w:rPr>
          <w:rFonts w:asciiTheme="minorBidi" w:hAnsiTheme="minorBidi"/>
          <w:sz w:val="28"/>
          <w:szCs w:val="28"/>
          <w:rtl/>
          <w:lang w:bidi="ar-EG"/>
        </w:rPr>
        <w:lastRenderedPageBreak/>
        <w:t>نقدي مؤقتة وزيادة القيود على الوكلاء و</w:t>
      </w:r>
      <w:r w:rsidR="00F93DC6" w:rsidRPr="0003289A">
        <w:rPr>
          <w:rFonts w:asciiTheme="minorBidi" w:hAnsiTheme="minorBidi"/>
          <w:sz w:val="28"/>
          <w:szCs w:val="28"/>
          <w:rtl/>
          <w:lang w:bidi="ar-EG"/>
        </w:rPr>
        <w:t>محافظ الشركات للمعاملات الرقمية وغيرها من تدابير. ومع ذلك، في المستقبل</w:t>
      </w:r>
      <w:r w:rsidRPr="0003289A">
        <w:rPr>
          <w:rFonts w:asciiTheme="minorBidi" w:hAnsiTheme="minorBidi"/>
          <w:sz w:val="28"/>
          <w:szCs w:val="28"/>
          <w:rtl/>
          <w:lang w:bidi="ar-EG"/>
        </w:rPr>
        <w:t>، وفي سياق التفاؤل</w:t>
      </w:r>
      <w:r w:rsidR="00F93DC6" w:rsidRPr="0003289A">
        <w:rPr>
          <w:rFonts w:asciiTheme="minorBidi" w:hAnsiTheme="minorBidi"/>
          <w:sz w:val="28"/>
          <w:szCs w:val="28"/>
          <w:rtl/>
          <w:lang w:bidi="ar-EG"/>
        </w:rPr>
        <w:t xml:space="preserve"> بشأن التعافي الاقتصادي العالمي</w:t>
      </w:r>
      <w:r w:rsidRPr="0003289A">
        <w:rPr>
          <w:rFonts w:asciiTheme="minorBidi" w:hAnsiTheme="minorBidi"/>
          <w:sz w:val="28"/>
          <w:szCs w:val="28"/>
          <w:rtl/>
          <w:lang w:bidi="ar-EG"/>
        </w:rPr>
        <w:t xml:space="preserve"> وارتفاع أسعار المواد الغذائية والسلع والمخاطر التي يشكلها </w:t>
      </w:r>
      <w:r w:rsidR="00F93DC6" w:rsidRPr="0003289A">
        <w:rPr>
          <w:rFonts w:asciiTheme="minorBidi" w:hAnsiTheme="minorBidi"/>
          <w:sz w:val="28"/>
          <w:szCs w:val="28"/>
          <w:rtl/>
          <w:lang w:bidi="ar-EG"/>
        </w:rPr>
        <w:t>ذلك على التضخم المحلي</w:t>
      </w:r>
      <w:r w:rsidRPr="0003289A">
        <w:rPr>
          <w:rFonts w:asciiTheme="minorBidi" w:hAnsiTheme="minorBidi"/>
          <w:sz w:val="28"/>
          <w:szCs w:val="28"/>
          <w:rtl/>
          <w:lang w:bidi="ar-EG"/>
        </w:rPr>
        <w:t>، يمكن أن يتقلص مجال السياسة النقدية</w:t>
      </w:r>
      <w:r w:rsidR="00F93DC6" w:rsidRPr="0003289A">
        <w:rPr>
          <w:rFonts w:asciiTheme="minorBidi" w:hAnsiTheme="minorBidi"/>
          <w:sz w:val="28"/>
          <w:szCs w:val="28"/>
          <w:rtl/>
          <w:lang w:bidi="ar-EG"/>
        </w:rPr>
        <w:t xml:space="preserve"> الداعمة بشكل متزايد. في الواقع</w:t>
      </w:r>
      <w:r w:rsidRPr="0003289A">
        <w:rPr>
          <w:rFonts w:asciiTheme="minorBidi" w:hAnsiTheme="minorBidi"/>
          <w:sz w:val="28"/>
          <w:szCs w:val="28"/>
          <w:rtl/>
          <w:lang w:bidi="ar-EG"/>
        </w:rPr>
        <w:t>، ب</w:t>
      </w:r>
      <w:r w:rsidR="00F93DC6" w:rsidRPr="0003289A">
        <w:rPr>
          <w:rFonts w:asciiTheme="minorBidi" w:hAnsiTheme="minorBidi"/>
          <w:sz w:val="28"/>
          <w:szCs w:val="28"/>
          <w:rtl/>
          <w:lang w:bidi="ar-EG"/>
        </w:rPr>
        <w:t>عد أن خففت السياسة حتى عام 2020</w:t>
      </w:r>
      <w:r w:rsidRPr="0003289A">
        <w:rPr>
          <w:rFonts w:asciiTheme="minorBidi" w:hAnsiTheme="minorBidi"/>
          <w:sz w:val="28"/>
          <w:szCs w:val="28"/>
          <w:rtl/>
          <w:lang w:bidi="ar-EG"/>
        </w:rPr>
        <w:t>، أبقت بعض البنوك المركزية</w:t>
      </w:r>
      <w:r w:rsidR="00F93DC6" w:rsidRPr="0003289A">
        <w:rPr>
          <w:rFonts w:asciiTheme="minorBidi" w:hAnsiTheme="minorBidi"/>
          <w:sz w:val="28"/>
          <w:szCs w:val="28"/>
          <w:rtl/>
          <w:lang w:bidi="ar-EG"/>
        </w:rPr>
        <w:t xml:space="preserve"> في المنطقة أسعار الفائدة معلقة</w:t>
      </w:r>
      <w:r w:rsidRPr="0003289A">
        <w:rPr>
          <w:rFonts w:asciiTheme="minorBidi" w:hAnsiTheme="minorBidi"/>
          <w:sz w:val="28"/>
          <w:szCs w:val="28"/>
          <w:rtl/>
          <w:lang w:bidi="ar-EG"/>
        </w:rPr>
        <w:t>، بينما عكست بعض البنوك الأخرى بالفعل بعض تخفيضات أسعار الفائدة لعام 2020.</w:t>
      </w:r>
    </w:p>
    <w:p w:rsidR="00A96D68" w:rsidRPr="0003289A" w:rsidRDefault="00F93DC6"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وقد </w:t>
      </w:r>
      <w:r w:rsidR="00A96D68" w:rsidRPr="0003289A">
        <w:rPr>
          <w:rFonts w:asciiTheme="minorBidi" w:hAnsiTheme="minorBidi"/>
          <w:sz w:val="28"/>
          <w:szCs w:val="28"/>
          <w:rtl/>
          <w:lang w:bidi="ar-EG"/>
        </w:rPr>
        <w:t xml:space="preserve">أدت الاضطرابات الاقتصادية الناجمة عن فيروس كورونا المستجد </w:t>
      </w:r>
      <w:r w:rsidRPr="0003289A">
        <w:rPr>
          <w:rFonts w:asciiTheme="minorBidi" w:hAnsiTheme="minorBidi"/>
          <w:sz w:val="28"/>
          <w:szCs w:val="28"/>
          <w:rtl/>
          <w:lang w:bidi="ar-EG"/>
        </w:rPr>
        <w:t>إلى تشديد شروط التمويل العالمية وتدفق غير مسبوق لرأس المال</w:t>
      </w:r>
      <w:r w:rsidR="00A96D68" w:rsidRPr="0003289A">
        <w:rPr>
          <w:rFonts w:asciiTheme="minorBidi" w:hAnsiTheme="minorBidi"/>
          <w:sz w:val="28"/>
          <w:szCs w:val="28"/>
          <w:rtl/>
          <w:lang w:bidi="ar-EG"/>
        </w:rPr>
        <w:t xml:space="preserve"> وانخفاض حاد في التحويلات وإيرادات السياحة</w:t>
      </w:r>
      <w:r w:rsidRPr="0003289A">
        <w:rPr>
          <w:rFonts w:asciiTheme="minorBidi" w:hAnsiTheme="minorBidi"/>
          <w:sz w:val="28"/>
          <w:szCs w:val="28"/>
          <w:rtl/>
          <w:lang w:bidi="ar-EG"/>
        </w:rPr>
        <w:t>، وهو ما</w:t>
      </w:r>
      <w:r w:rsidR="00A96D68" w:rsidRPr="0003289A">
        <w:rPr>
          <w:rFonts w:asciiTheme="minorBidi" w:hAnsiTheme="minorBidi"/>
          <w:sz w:val="28"/>
          <w:szCs w:val="28"/>
          <w:rtl/>
          <w:lang w:bidi="ar-EG"/>
        </w:rPr>
        <w:t xml:space="preserve"> أدى ذلك إلى ضغوط </w:t>
      </w:r>
      <w:r w:rsidR="006E0282" w:rsidRPr="0003289A">
        <w:rPr>
          <w:rFonts w:asciiTheme="minorBidi" w:hAnsiTheme="minorBidi"/>
          <w:sz w:val="28"/>
          <w:szCs w:val="28"/>
          <w:rtl/>
          <w:lang w:bidi="ar-EG"/>
        </w:rPr>
        <w:t>مالية شديدة</w:t>
      </w:r>
      <w:r w:rsidR="00A96D68" w:rsidRPr="0003289A">
        <w:rPr>
          <w:rFonts w:asciiTheme="minorBidi" w:hAnsiTheme="minorBidi"/>
          <w:sz w:val="28"/>
          <w:szCs w:val="28"/>
          <w:rtl/>
          <w:lang w:bidi="ar-EG"/>
        </w:rPr>
        <w:t xml:space="preserve"> و</w:t>
      </w:r>
      <w:r w:rsidR="006E0282" w:rsidRPr="0003289A">
        <w:rPr>
          <w:rFonts w:asciiTheme="minorBidi" w:hAnsiTheme="minorBidi"/>
          <w:sz w:val="28"/>
          <w:szCs w:val="28"/>
          <w:rtl/>
          <w:lang w:bidi="ar-EG"/>
        </w:rPr>
        <w:t xml:space="preserve">ضغوط شديدة على </w:t>
      </w:r>
      <w:r w:rsidR="00A96D68" w:rsidRPr="0003289A">
        <w:rPr>
          <w:rFonts w:asciiTheme="minorBidi" w:hAnsiTheme="minorBidi"/>
          <w:sz w:val="28"/>
          <w:szCs w:val="28"/>
          <w:rtl/>
          <w:lang w:bidi="ar-EG"/>
        </w:rPr>
        <w:t xml:space="preserve">أسعار الصرف في العديد من </w:t>
      </w:r>
      <w:r w:rsidRPr="0003289A">
        <w:rPr>
          <w:rFonts w:asciiTheme="minorBidi" w:hAnsiTheme="minorBidi"/>
          <w:sz w:val="28"/>
          <w:szCs w:val="28"/>
          <w:rtl/>
          <w:lang w:bidi="ar-EG"/>
        </w:rPr>
        <w:t xml:space="preserve">الدول </w:t>
      </w:r>
      <w:r w:rsidR="00A96D68" w:rsidRPr="0003289A">
        <w:rPr>
          <w:rFonts w:asciiTheme="minorBidi" w:hAnsiTheme="minorBidi"/>
          <w:sz w:val="28"/>
          <w:szCs w:val="28"/>
          <w:rtl/>
          <w:lang w:bidi="ar-EG"/>
        </w:rPr>
        <w:t xml:space="preserve">في </w:t>
      </w:r>
      <w:r w:rsidRPr="0003289A">
        <w:rPr>
          <w:rFonts w:asciiTheme="minorBidi" w:hAnsiTheme="minorBidi"/>
          <w:sz w:val="28"/>
          <w:szCs w:val="28"/>
          <w:rtl/>
          <w:lang w:bidi="ar-EG"/>
        </w:rPr>
        <w:t>الإقليم</w:t>
      </w:r>
      <w:r w:rsidR="00A96D68" w:rsidRPr="0003289A">
        <w:rPr>
          <w:rFonts w:asciiTheme="minorBidi" w:hAnsiTheme="minorBidi"/>
          <w:sz w:val="28"/>
          <w:szCs w:val="28"/>
          <w:rtl/>
          <w:lang w:bidi="ar-EG"/>
        </w:rPr>
        <w:t xml:space="preserve">. </w:t>
      </w:r>
      <w:r w:rsidRPr="0003289A">
        <w:rPr>
          <w:rFonts w:asciiTheme="minorBidi" w:hAnsiTheme="minorBidi"/>
          <w:sz w:val="28"/>
          <w:szCs w:val="28"/>
          <w:rtl/>
          <w:lang w:bidi="ar-EG"/>
        </w:rPr>
        <w:t xml:space="preserve">وقد </w:t>
      </w:r>
      <w:r w:rsidR="00A96D68" w:rsidRPr="0003289A">
        <w:rPr>
          <w:rFonts w:asciiTheme="minorBidi" w:hAnsiTheme="minorBidi"/>
          <w:sz w:val="28"/>
          <w:szCs w:val="28"/>
          <w:rtl/>
          <w:lang w:bidi="ar-EG"/>
        </w:rPr>
        <w:t xml:space="preserve">أدت الظروف المالية العالمية المتشددة إلى خفض التدفقات الاستثمارية إلى </w:t>
      </w:r>
      <w:r w:rsidRPr="0003289A">
        <w:rPr>
          <w:rFonts w:asciiTheme="minorBidi" w:hAnsiTheme="minorBidi"/>
          <w:sz w:val="28"/>
          <w:szCs w:val="28"/>
          <w:rtl/>
          <w:lang w:bidi="ar-EG"/>
        </w:rPr>
        <w:t>الإقليم</w:t>
      </w:r>
      <w:r w:rsidR="00A96D68" w:rsidRPr="0003289A">
        <w:rPr>
          <w:rFonts w:asciiTheme="minorBidi" w:hAnsiTheme="minorBidi"/>
          <w:sz w:val="28"/>
          <w:szCs w:val="28"/>
          <w:rtl/>
          <w:lang w:bidi="ar-EG"/>
        </w:rPr>
        <w:t xml:space="preserve">، مما أدى إلى إجهاد الموارد المطلوبة للتعامل مع الوباء ودعم </w:t>
      </w:r>
      <w:r w:rsidRPr="0003289A">
        <w:rPr>
          <w:rFonts w:asciiTheme="minorBidi" w:hAnsiTheme="minorBidi"/>
          <w:sz w:val="28"/>
          <w:szCs w:val="28"/>
          <w:rtl/>
          <w:lang w:bidi="ar-EG"/>
        </w:rPr>
        <w:t>الانتعاش الاقتصادي. ونتيجةً لذلك</w:t>
      </w:r>
      <w:r w:rsidR="00A96D68" w:rsidRPr="0003289A">
        <w:rPr>
          <w:rFonts w:asciiTheme="minorBidi" w:hAnsiTheme="minorBidi"/>
          <w:sz w:val="28"/>
          <w:szCs w:val="28"/>
          <w:rtl/>
          <w:lang w:bidi="ar-EG"/>
        </w:rPr>
        <w:t>، ك</w:t>
      </w:r>
      <w:r w:rsidR="00E64B9F" w:rsidRPr="0003289A">
        <w:rPr>
          <w:rFonts w:asciiTheme="minorBidi" w:hAnsiTheme="minorBidi"/>
          <w:sz w:val="28"/>
          <w:szCs w:val="28"/>
          <w:rtl/>
          <w:lang w:bidi="ar-EG"/>
        </w:rPr>
        <w:t>ان على الحكومة إما خفض الإنفاق أو تراكم المتأخرات</w:t>
      </w:r>
      <w:r w:rsidR="00A96D68" w:rsidRPr="0003289A">
        <w:rPr>
          <w:rFonts w:asciiTheme="minorBidi" w:hAnsiTheme="minorBidi"/>
          <w:sz w:val="28"/>
          <w:szCs w:val="28"/>
          <w:rtl/>
          <w:lang w:bidi="ar-EG"/>
        </w:rPr>
        <w:t xml:space="preserve"> أو السماح بزيادة الاقتراض الحكومي من السوق المحلية مع موازنة العواقب التي قد تترتب على الائتمان المحلي و</w:t>
      </w:r>
      <w:r w:rsidR="00E64B9F" w:rsidRPr="0003289A">
        <w:rPr>
          <w:rFonts w:asciiTheme="minorBidi" w:hAnsiTheme="minorBidi"/>
          <w:sz w:val="28"/>
          <w:szCs w:val="28"/>
          <w:rtl/>
          <w:lang w:bidi="ar-EG"/>
        </w:rPr>
        <w:t>الانتعاش الاقتصادي. وفي المستقبل</w:t>
      </w:r>
      <w:r w:rsidR="00A96D68" w:rsidRPr="0003289A">
        <w:rPr>
          <w:rFonts w:asciiTheme="minorBidi" w:hAnsiTheme="minorBidi"/>
          <w:sz w:val="28"/>
          <w:szCs w:val="28"/>
          <w:rtl/>
          <w:lang w:bidi="ar-EG"/>
        </w:rPr>
        <w:t xml:space="preserve">، إذا استمر الوباء وفشلت الظروف المالية العالمية </w:t>
      </w:r>
      <w:r w:rsidR="00E64B9F" w:rsidRPr="0003289A">
        <w:rPr>
          <w:rFonts w:asciiTheme="minorBidi" w:hAnsiTheme="minorBidi"/>
          <w:sz w:val="28"/>
          <w:szCs w:val="28"/>
          <w:rtl/>
          <w:lang w:bidi="ar-EG"/>
        </w:rPr>
        <w:t>المشددة في التخفيف كما هو متوقع</w:t>
      </w:r>
      <w:r w:rsidR="00A96D68" w:rsidRPr="0003289A">
        <w:rPr>
          <w:rFonts w:asciiTheme="minorBidi" w:hAnsiTheme="minorBidi"/>
          <w:sz w:val="28"/>
          <w:szCs w:val="28"/>
          <w:rtl/>
          <w:lang w:bidi="ar-EG"/>
        </w:rPr>
        <w:t xml:space="preserve">، فقد لا يزال يتعين على الحكومات استخدام هذا التمويل كملاذ </w:t>
      </w:r>
      <w:r w:rsidR="00E64B9F" w:rsidRPr="0003289A">
        <w:rPr>
          <w:rFonts w:asciiTheme="minorBidi" w:hAnsiTheme="minorBidi"/>
          <w:sz w:val="28"/>
          <w:szCs w:val="28"/>
          <w:rtl/>
          <w:lang w:bidi="ar-EG"/>
        </w:rPr>
        <w:t>أخير</w:t>
      </w:r>
      <w:r w:rsidR="00A96D68" w:rsidRPr="0003289A">
        <w:rPr>
          <w:rFonts w:asciiTheme="minorBidi" w:hAnsiTheme="minorBidi"/>
          <w:sz w:val="28"/>
          <w:szCs w:val="28"/>
          <w:rtl/>
          <w:lang w:bidi="ar-EG"/>
        </w:rPr>
        <w:t>، ولكن يجب أن يكون ذلك وفقًا لشروط السوق.</w:t>
      </w:r>
    </w:p>
    <w:p w:rsidR="00A96D68" w:rsidRPr="0003289A" w:rsidRDefault="005715CC"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و</w:t>
      </w:r>
      <w:r w:rsidR="00A96D68" w:rsidRPr="0003289A">
        <w:rPr>
          <w:rFonts w:asciiTheme="minorBidi" w:hAnsiTheme="minorBidi"/>
          <w:sz w:val="28"/>
          <w:szCs w:val="28"/>
          <w:rtl/>
          <w:lang w:bidi="ar-EG"/>
        </w:rPr>
        <w:t xml:space="preserve">على الرغم من أن السياسة المالية أساسية في معالجة التحديات الحالية التي يفرضها </w:t>
      </w:r>
      <w:r w:rsidRPr="0003289A">
        <w:rPr>
          <w:rFonts w:asciiTheme="minorBidi" w:hAnsiTheme="minorBidi"/>
          <w:sz w:val="28"/>
          <w:szCs w:val="28"/>
          <w:rtl/>
          <w:lang w:bidi="ar-EG"/>
        </w:rPr>
        <w:t>وباء فيروس كورونا المستجد</w:t>
      </w:r>
      <w:r w:rsidR="00A96D68" w:rsidRPr="0003289A">
        <w:rPr>
          <w:rFonts w:asciiTheme="minorBidi" w:hAnsiTheme="minorBidi"/>
          <w:sz w:val="28"/>
          <w:szCs w:val="28"/>
          <w:rtl/>
          <w:lang w:bidi="ar-EG"/>
        </w:rPr>
        <w:t xml:space="preserve">، إلا أن السياسات النقدية وسياسات أسعار الصرف يمكن أن تلعب أيضًا دورًا مهمًا في تخفيف الصدمة الاقتصادية. </w:t>
      </w:r>
      <w:r w:rsidRPr="0003289A">
        <w:rPr>
          <w:rFonts w:asciiTheme="minorBidi" w:hAnsiTheme="minorBidi"/>
          <w:sz w:val="28"/>
          <w:szCs w:val="28"/>
          <w:rtl/>
          <w:lang w:bidi="ar-EG"/>
        </w:rPr>
        <w:t>و</w:t>
      </w:r>
      <w:r w:rsidR="00A96D68" w:rsidRPr="0003289A">
        <w:rPr>
          <w:rFonts w:asciiTheme="minorBidi" w:hAnsiTheme="minorBidi"/>
          <w:sz w:val="28"/>
          <w:szCs w:val="28"/>
          <w:rtl/>
          <w:lang w:bidi="ar-EG"/>
        </w:rPr>
        <w:t>على هذا ال</w:t>
      </w:r>
      <w:r w:rsidRPr="0003289A">
        <w:rPr>
          <w:rFonts w:asciiTheme="minorBidi" w:hAnsiTheme="minorBidi"/>
          <w:sz w:val="28"/>
          <w:szCs w:val="28"/>
          <w:rtl/>
          <w:lang w:bidi="ar-EG"/>
        </w:rPr>
        <w:t>نحو</w:t>
      </w:r>
      <w:r w:rsidR="00A96D68" w:rsidRPr="0003289A">
        <w:rPr>
          <w:rFonts w:asciiTheme="minorBidi" w:hAnsiTheme="minorBidi"/>
          <w:sz w:val="28"/>
          <w:szCs w:val="28"/>
          <w:rtl/>
          <w:lang w:bidi="ar-EG"/>
        </w:rPr>
        <w:t>، هناك حاجة لضمان سلامة القطاع المص</w:t>
      </w:r>
      <w:r w:rsidRPr="0003289A">
        <w:rPr>
          <w:rFonts w:asciiTheme="minorBidi" w:hAnsiTheme="minorBidi"/>
          <w:sz w:val="28"/>
          <w:szCs w:val="28"/>
          <w:rtl/>
          <w:lang w:bidi="ar-EG"/>
        </w:rPr>
        <w:t>رفي من خلال زيادة السيولة. و</w:t>
      </w:r>
      <w:r w:rsidR="00A96D68" w:rsidRPr="0003289A">
        <w:rPr>
          <w:rFonts w:asciiTheme="minorBidi" w:hAnsiTheme="minorBidi"/>
          <w:sz w:val="28"/>
          <w:szCs w:val="28"/>
          <w:rtl/>
          <w:lang w:bidi="ar-EG"/>
        </w:rPr>
        <w:t xml:space="preserve">يجب على البنوك المركزية في </w:t>
      </w:r>
      <w:r w:rsidRPr="0003289A">
        <w:rPr>
          <w:rFonts w:asciiTheme="minorBidi" w:hAnsiTheme="minorBidi"/>
          <w:sz w:val="28"/>
          <w:szCs w:val="28"/>
          <w:rtl/>
          <w:lang w:bidi="ar-EG"/>
        </w:rPr>
        <w:t xml:space="preserve">الإقليم كذلك النظر </w:t>
      </w:r>
      <w:r w:rsidR="00A96D68" w:rsidRPr="0003289A">
        <w:rPr>
          <w:rFonts w:asciiTheme="minorBidi" w:hAnsiTheme="minorBidi"/>
          <w:sz w:val="28"/>
          <w:szCs w:val="28"/>
          <w:rtl/>
          <w:lang w:bidi="ar-EG"/>
        </w:rPr>
        <w:t xml:space="preserve">في تيسير السياسة النقدية خاصة في </w:t>
      </w:r>
      <w:r w:rsidRPr="0003289A">
        <w:rPr>
          <w:rFonts w:asciiTheme="minorBidi" w:hAnsiTheme="minorBidi"/>
          <w:sz w:val="28"/>
          <w:szCs w:val="28"/>
          <w:rtl/>
          <w:lang w:bidi="ar-EG"/>
        </w:rPr>
        <w:t>الدول</w:t>
      </w:r>
      <w:r w:rsidR="00A96D68" w:rsidRPr="0003289A">
        <w:rPr>
          <w:rFonts w:asciiTheme="minorBidi" w:hAnsiTheme="minorBidi"/>
          <w:sz w:val="28"/>
          <w:szCs w:val="28"/>
          <w:rtl/>
          <w:lang w:bidi="ar-EG"/>
        </w:rPr>
        <w:t xml:space="preserve"> التي لا يمثل فيها التضخم مصدر</w:t>
      </w:r>
      <w:r w:rsidRPr="0003289A">
        <w:rPr>
          <w:rFonts w:asciiTheme="minorBidi" w:hAnsiTheme="minorBidi"/>
          <w:sz w:val="28"/>
          <w:szCs w:val="28"/>
          <w:rtl/>
          <w:lang w:bidi="ar-EG"/>
        </w:rPr>
        <w:t>ًا</w:t>
      </w:r>
      <w:r w:rsidR="00A96D68" w:rsidRPr="0003289A">
        <w:rPr>
          <w:rFonts w:asciiTheme="minorBidi" w:hAnsiTheme="minorBidi"/>
          <w:sz w:val="28"/>
          <w:szCs w:val="28"/>
          <w:rtl/>
          <w:lang w:bidi="ar-EG"/>
        </w:rPr>
        <w:t xml:space="preserve"> </w:t>
      </w:r>
      <w:r w:rsidRPr="0003289A">
        <w:rPr>
          <w:rFonts w:asciiTheme="minorBidi" w:hAnsiTheme="minorBidi"/>
          <w:sz w:val="28"/>
          <w:szCs w:val="28"/>
          <w:rtl/>
          <w:lang w:bidi="ar-EG"/>
        </w:rPr>
        <w:t>لل</w:t>
      </w:r>
      <w:r w:rsidR="00A96D68" w:rsidRPr="0003289A">
        <w:rPr>
          <w:rFonts w:asciiTheme="minorBidi" w:hAnsiTheme="minorBidi"/>
          <w:sz w:val="28"/>
          <w:szCs w:val="28"/>
          <w:rtl/>
          <w:lang w:bidi="ar-EG"/>
        </w:rPr>
        <w:t xml:space="preserve">قلق </w:t>
      </w:r>
      <w:r w:rsidRPr="0003289A">
        <w:rPr>
          <w:rFonts w:asciiTheme="minorBidi" w:hAnsiTheme="minorBidi"/>
          <w:sz w:val="28"/>
          <w:szCs w:val="28"/>
          <w:rtl/>
          <w:lang w:bidi="ar-EG"/>
        </w:rPr>
        <w:t>ال</w:t>
      </w:r>
      <w:r w:rsidR="00A96D68" w:rsidRPr="0003289A">
        <w:rPr>
          <w:rFonts w:asciiTheme="minorBidi" w:hAnsiTheme="minorBidi"/>
          <w:sz w:val="28"/>
          <w:szCs w:val="28"/>
          <w:rtl/>
          <w:lang w:bidi="ar-EG"/>
        </w:rPr>
        <w:t xml:space="preserve">فوري من أجل تزويد الاقتصاد بالزخم اللازم لعكس مرحلة انكماش النمو. </w:t>
      </w:r>
      <w:r w:rsidRPr="0003289A">
        <w:rPr>
          <w:rFonts w:asciiTheme="minorBidi" w:hAnsiTheme="minorBidi"/>
          <w:sz w:val="28"/>
          <w:szCs w:val="28"/>
          <w:rtl/>
          <w:lang w:bidi="ar-EG"/>
        </w:rPr>
        <w:t>و</w:t>
      </w:r>
      <w:r w:rsidR="00A96D68" w:rsidRPr="0003289A">
        <w:rPr>
          <w:rFonts w:asciiTheme="minorBidi" w:hAnsiTheme="minorBidi"/>
          <w:sz w:val="28"/>
          <w:szCs w:val="28"/>
          <w:rtl/>
          <w:lang w:bidi="ar-EG"/>
        </w:rPr>
        <w:t xml:space="preserve">بالنسبة </w:t>
      </w:r>
      <w:r w:rsidRPr="0003289A">
        <w:rPr>
          <w:rFonts w:asciiTheme="minorBidi" w:hAnsiTheme="minorBidi"/>
          <w:sz w:val="28"/>
          <w:szCs w:val="28"/>
          <w:rtl/>
          <w:lang w:bidi="ar-EG"/>
        </w:rPr>
        <w:t xml:space="preserve">للدول </w:t>
      </w:r>
      <w:r w:rsidR="00A96D68" w:rsidRPr="0003289A">
        <w:rPr>
          <w:rFonts w:asciiTheme="minorBidi" w:hAnsiTheme="minorBidi"/>
          <w:sz w:val="28"/>
          <w:szCs w:val="28"/>
          <w:rtl/>
          <w:lang w:bidi="ar-EG"/>
        </w:rPr>
        <w:t xml:space="preserve">في </w:t>
      </w:r>
      <w:r w:rsidRPr="0003289A">
        <w:rPr>
          <w:rFonts w:asciiTheme="minorBidi" w:hAnsiTheme="minorBidi"/>
          <w:sz w:val="28"/>
          <w:szCs w:val="28"/>
          <w:rtl/>
          <w:lang w:bidi="ar-EG"/>
        </w:rPr>
        <w:t xml:space="preserve">الإقليم </w:t>
      </w:r>
      <w:r w:rsidR="00A96D68" w:rsidRPr="0003289A">
        <w:rPr>
          <w:rFonts w:asciiTheme="minorBidi" w:hAnsiTheme="minorBidi"/>
          <w:sz w:val="28"/>
          <w:szCs w:val="28"/>
          <w:rtl/>
          <w:lang w:bidi="ar-EG"/>
        </w:rPr>
        <w:t xml:space="preserve">التي تخضع لأنظمة أسعار صرف مرنة وتتمتع بتضخم </w:t>
      </w:r>
      <w:r w:rsidRPr="0003289A">
        <w:rPr>
          <w:rFonts w:asciiTheme="minorBidi" w:hAnsiTheme="minorBidi"/>
          <w:sz w:val="28"/>
          <w:szCs w:val="28"/>
          <w:rtl/>
          <w:lang w:bidi="ar-EG"/>
        </w:rPr>
        <w:t>منخفض وغياب كبير لتفاوت العملات</w:t>
      </w:r>
      <w:r w:rsidR="00A96D68" w:rsidRPr="0003289A">
        <w:rPr>
          <w:rFonts w:asciiTheme="minorBidi" w:hAnsiTheme="minorBidi"/>
          <w:sz w:val="28"/>
          <w:szCs w:val="28"/>
          <w:rtl/>
          <w:lang w:bidi="ar-EG"/>
        </w:rPr>
        <w:t>، يمكن السماح لس</w:t>
      </w:r>
      <w:r w:rsidRPr="0003289A">
        <w:rPr>
          <w:rFonts w:asciiTheme="minorBidi" w:hAnsiTheme="minorBidi"/>
          <w:sz w:val="28"/>
          <w:szCs w:val="28"/>
          <w:rtl/>
          <w:lang w:bidi="ar-EG"/>
        </w:rPr>
        <w:t>عر الصرف بأن يكون العامل الرئيس</w:t>
      </w:r>
      <w:r w:rsidR="00A96D68" w:rsidRPr="0003289A">
        <w:rPr>
          <w:rFonts w:asciiTheme="minorBidi" w:hAnsiTheme="minorBidi"/>
          <w:sz w:val="28"/>
          <w:szCs w:val="28"/>
          <w:rtl/>
          <w:lang w:bidi="ar-EG"/>
        </w:rPr>
        <w:t xml:space="preserve"> لامتصاص الصدمات. </w:t>
      </w:r>
      <w:r w:rsidRPr="0003289A">
        <w:rPr>
          <w:rFonts w:asciiTheme="minorBidi" w:hAnsiTheme="minorBidi"/>
          <w:sz w:val="28"/>
          <w:szCs w:val="28"/>
          <w:rtl/>
          <w:lang w:bidi="ar-EG"/>
        </w:rPr>
        <w:t>و</w:t>
      </w:r>
      <w:r w:rsidR="00A96D68" w:rsidRPr="0003289A">
        <w:rPr>
          <w:rFonts w:asciiTheme="minorBidi" w:hAnsiTheme="minorBidi"/>
          <w:sz w:val="28"/>
          <w:szCs w:val="28"/>
          <w:rtl/>
          <w:lang w:bidi="ar-EG"/>
        </w:rPr>
        <w:t xml:space="preserve">سيكون التدخل في أسعار الصرف لتهدئة تقلبات أسعار الصرف أمرًا مرغوبًا في </w:t>
      </w:r>
      <w:r w:rsidRPr="0003289A">
        <w:rPr>
          <w:rFonts w:asciiTheme="minorBidi" w:hAnsiTheme="minorBidi"/>
          <w:sz w:val="28"/>
          <w:szCs w:val="28"/>
          <w:rtl/>
          <w:lang w:bidi="ar-EG"/>
        </w:rPr>
        <w:t xml:space="preserve">الدول </w:t>
      </w:r>
      <w:r w:rsidR="00A96D68" w:rsidRPr="0003289A">
        <w:rPr>
          <w:rFonts w:asciiTheme="minorBidi" w:hAnsiTheme="minorBidi"/>
          <w:sz w:val="28"/>
          <w:szCs w:val="28"/>
          <w:rtl/>
          <w:lang w:bidi="ar-EG"/>
        </w:rPr>
        <w:t>ذات أسواق الصرف الأجنبي الضحلة والمخاطر الكبيرة غير المحمية في الميزانية العمومية.</w:t>
      </w:r>
    </w:p>
    <w:p w:rsidR="00A96D68" w:rsidRPr="0003289A" w:rsidRDefault="00A96D68" w:rsidP="0003289A">
      <w:pPr>
        <w:bidi/>
        <w:spacing w:after="0" w:line="360" w:lineRule="auto"/>
        <w:jc w:val="both"/>
        <w:rPr>
          <w:rFonts w:asciiTheme="minorBidi" w:hAnsiTheme="minorBidi"/>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4" w:name="_Toc82709011"/>
      <w:r w:rsidRPr="0003289A">
        <w:rPr>
          <w:rFonts w:asciiTheme="minorBidi" w:hAnsiTheme="minorBidi" w:cstheme="minorBidi"/>
          <w:rtl/>
        </w:rPr>
        <w:t>الرصيد المالي الكلي شاملًا المنح</w:t>
      </w:r>
      <w:bookmarkEnd w:id="4"/>
    </w:p>
    <w:p w:rsidR="005E35BB" w:rsidRPr="0003289A" w:rsidRDefault="005E35BB"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اتسع متوسط ​​</w:t>
      </w:r>
      <w:r w:rsidR="00F06137" w:rsidRPr="0003289A">
        <w:rPr>
          <w:rFonts w:asciiTheme="minorBidi" w:hAnsiTheme="minorBidi"/>
          <w:sz w:val="28"/>
          <w:szCs w:val="28"/>
          <w:rtl/>
          <w:lang w:bidi="ar-EG"/>
        </w:rPr>
        <w:t xml:space="preserve">العجز المالي للإقليم شاملًا </w:t>
      </w:r>
      <w:r w:rsidRPr="0003289A">
        <w:rPr>
          <w:rFonts w:asciiTheme="minorBidi" w:hAnsiTheme="minorBidi"/>
          <w:sz w:val="28"/>
          <w:szCs w:val="28"/>
          <w:rtl/>
          <w:lang w:bidi="ar-EG"/>
        </w:rPr>
        <w:t xml:space="preserve">المنح كنسبة مئوية من </w:t>
      </w:r>
      <w:r w:rsidR="00F06137" w:rsidRPr="0003289A">
        <w:rPr>
          <w:rFonts w:asciiTheme="minorBidi" w:hAnsiTheme="minorBidi"/>
          <w:sz w:val="28"/>
          <w:szCs w:val="28"/>
          <w:rtl/>
          <w:lang w:bidi="ar-EG"/>
        </w:rPr>
        <w:t xml:space="preserve">إجمالي </w:t>
      </w:r>
      <w:r w:rsidRPr="0003289A">
        <w:rPr>
          <w:rFonts w:asciiTheme="minorBidi" w:hAnsiTheme="minorBidi"/>
          <w:sz w:val="28"/>
          <w:szCs w:val="28"/>
          <w:rtl/>
          <w:lang w:bidi="ar-EG"/>
        </w:rPr>
        <w:t xml:space="preserve">الناتج المحلي </w:t>
      </w:r>
      <w:r w:rsidR="00F06137" w:rsidRPr="0003289A">
        <w:rPr>
          <w:rFonts w:asciiTheme="minorBidi" w:hAnsiTheme="minorBidi"/>
          <w:sz w:val="28"/>
          <w:szCs w:val="28"/>
          <w:rtl/>
          <w:lang w:bidi="ar-EG"/>
        </w:rPr>
        <w:t>بمقدار 0.9% إلى -5.7% في عام 2020</w:t>
      </w:r>
      <w:r w:rsidRPr="0003289A">
        <w:rPr>
          <w:rFonts w:asciiTheme="minorBidi" w:hAnsiTheme="minorBidi"/>
          <w:sz w:val="28"/>
          <w:szCs w:val="28"/>
          <w:rtl/>
          <w:lang w:bidi="ar-EG"/>
        </w:rPr>
        <w:t xml:space="preserve"> من -4.8</w:t>
      </w:r>
      <w:r w:rsidR="00F06137"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 2019. و</w:t>
      </w:r>
      <w:r w:rsidR="00F06137" w:rsidRPr="0003289A">
        <w:rPr>
          <w:rFonts w:asciiTheme="minorBidi" w:hAnsiTheme="minorBidi"/>
          <w:sz w:val="28"/>
          <w:szCs w:val="28"/>
          <w:rtl/>
          <w:lang w:bidi="ar-EG"/>
        </w:rPr>
        <w:t xml:space="preserve">قد </w:t>
      </w:r>
      <w:r w:rsidRPr="0003289A">
        <w:rPr>
          <w:rFonts w:asciiTheme="minorBidi" w:hAnsiTheme="minorBidi"/>
          <w:sz w:val="28"/>
          <w:szCs w:val="28"/>
          <w:rtl/>
          <w:lang w:bidi="ar-EG"/>
        </w:rPr>
        <w:t xml:space="preserve">تفاقم ذلك بسبب الاقتراض الجديد لتغطية نقص الإيرادات الناجم عن الأزمة الاقتصادية الناجمة عن </w:t>
      </w:r>
      <w:r w:rsidR="00F06137"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w:t>
      </w:r>
      <w:r w:rsidR="00F06137" w:rsidRPr="0003289A">
        <w:rPr>
          <w:rFonts w:asciiTheme="minorBidi" w:hAnsiTheme="minorBidi"/>
          <w:sz w:val="28"/>
          <w:szCs w:val="28"/>
          <w:rtl/>
          <w:lang w:bidi="ar-EG"/>
        </w:rPr>
        <w:t xml:space="preserve">وقد </w:t>
      </w:r>
      <w:r w:rsidRPr="0003289A">
        <w:rPr>
          <w:rFonts w:asciiTheme="minorBidi" w:hAnsiTheme="minorBidi"/>
          <w:sz w:val="28"/>
          <w:szCs w:val="28"/>
          <w:rtl/>
          <w:lang w:bidi="ar-EG"/>
        </w:rPr>
        <w:t xml:space="preserve">وضعت الحكومات عددًا من الإجراءات المالية الموجهة نحو احتواء </w:t>
      </w:r>
      <w:r w:rsidR="00F06137"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بما في ذلك توفير الخدمات </w:t>
      </w:r>
      <w:r w:rsidRPr="0003289A">
        <w:rPr>
          <w:rFonts w:asciiTheme="minorBidi" w:hAnsiTheme="minorBidi"/>
          <w:sz w:val="28"/>
          <w:szCs w:val="28"/>
          <w:rtl/>
          <w:lang w:bidi="ar-EG"/>
        </w:rPr>
        <w:lastRenderedPageBreak/>
        <w:t xml:space="preserve">الصحية والدعم الموسع غير المسبوق للأسر والشركات والأسواق المالية. </w:t>
      </w:r>
      <w:r w:rsidR="000527B9" w:rsidRPr="0003289A">
        <w:rPr>
          <w:rFonts w:asciiTheme="minorBidi" w:hAnsiTheme="minorBidi"/>
          <w:sz w:val="28"/>
          <w:szCs w:val="28"/>
          <w:rtl/>
          <w:lang w:bidi="ar-EG"/>
        </w:rPr>
        <w:t>وعلى وجه الخصوص</w:t>
      </w:r>
      <w:r w:rsidRPr="0003289A">
        <w:rPr>
          <w:rFonts w:asciiTheme="minorBidi" w:hAnsiTheme="minorBidi"/>
          <w:sz w:val="28"/>
          <w:szCs w:val="28"/>
          <w:rtl/>
          <w:lang w:bidi="ar-EG"/>
        </w:rPr>
        <w:t xml:space="preserve">، استجابت معظم </w:t>
      </w:r>
      <w:r w:rsidR="000527B9" w:rsidRPr="0003289A">
        <w:rPr>
          <w:rFonts w:asciiTheme="minorBidi" w:hAnsiTheme="minorBidi"/>
          <w:sz w:val="28"/>
          <w:szCs w:val="28"/>
          <w:rtl/>
          <w:lang w:bidi="ar-EG"/>
        </w:rPr>
        <w:t xml:space="preserve">دول الإقليم </w:t>
      </w:r>
      <w:r w:rsidRPr="0003289A">
        <w:rPr>
          <w:rFonts w:asciiTheme="minorBidi" w:hAnsiTheme="minorBidi"/>
          <w:sz w:val="28"/>
          <w:szCs w:val="28"/>
          <w:rtl/>
          <w:lang w:bidi="ar-EG"/>
        </w:rPr>
        <w:t>للوب</w:t>
      </w:r>
      <w:r w:rsidR="000527B9" w:rsidRPr="0003289A">
        <w:rPr>
          <w:rFonts w:asciiTheme="minorBidi" w:hAnsiTheme="minorBidi"/>
          <w:sz w:val="28"/>
          <w:szCs w:val="28"/>
          <w:rtl/>
          <w:lang w:bidi="ar-EG"/>
        </w:rPr>
        <w:t>اء من خلال الإنفاق الصحي الهائل</w:t>
      </w:r>
      <w:r w:rsidRPr="0003289A">
        <w:rPr>
          <w:rFonts w:asciiTheme="minorBidi" w:hAnsiTheme="minorBidi"/>
          <w:sz w:val="28"/>
          <w:szCs w:val="28"/>
          <w:rtl/>
          <w:lang w:bidi="ar-EG"/>
        </w:rPr>
        <w:t xml:space="preserve"> وتدابير خفض الضرائب لتخفيف </w:t>
      </w:r>
      <w:r w:rsidR="000527B9" w:rsidRPr="0003289A">
        <w:rPr>
          <w:rFonts w:asciiTheme="minorBidi" w:hAnsiTheme="minorBidi"/>
          <w:sz w:val="28"/>
          <w:szCs w:val="28"/>
          <w:rtl/>
          <w:lang w:bidi="ar-EG"/>
        </w:rPr>
        <w:t xml:space="preserve">الحدة على الأسر </w:t>
      </w:r>
      <w:r w:rsidRPr="0003289A">
        <w:rPr>
          <w:rFonts w:asciiTheme="minorBidi" w:hAnsiTheme="minorBidi"/>
          <w:sz w:val="28"/>
          <w:szCs w:val="28"/>
          <w:rtl/>
          <w:lang w:bidi="ar-EG"/>
        </w:rPr>
        <w:t>والشركات الصغيرة وا</w:t>
      </w:r>
      <w:r w:rsidR="000527B9" w:rsidRPr="0003289A">
        <w:rPr>
          <w:rFonts w:asciiTheme="minorBidi" w:hAnsiTheme="minorBidi"/>
          <w:sz w:val="28"/>
          <w:szCs w:val="28"/>
          <w:rtl/>
          <w:lang w:bidi="ar-EG"/>
        </w:rPr>
        <w:t>لمتوسطة</w:t>
      </w:r>
      <w:r w:rsidRPr="0003289A">
        <w:rPr>
          <w:rFonts w:asciiTheme="minorBidi" w:hAnsiTheme="minorBidi"/>
          <w:sz w:val="28"/>
          <w:szCs w:val="28"/>
          <w:rtl/>
          <w:lang w:bidi="ar-EG"/>
        </w:rPr>
        <w:t xml:space="preserve"> وتوسيع الدعم للأسر الضعيفة من خلال الت</w:t>
      </w:r>
      <w:r w:rsidR="000527B9" w:rsidRPr="0003289A">
        <w:rPr>
          <w:rFonts w:asciiTheme="minorBidi" w:hAnsiTheme="minorBidi"/>
          <w:sz w:val="28"/>
          <w:szCs w:val="28"/>
          <w:rtl/>
          <w:lang w:bidi="ar-EG"/>
        </w:rPr>
        <w:t>حويلات النقدية والحصص الغذائية</w:t>
      </w:r>
      <w:r w:rsidRPr="0003289A">
        <w:rPr>
          <w:rFonts w:asciiTheme="minorBidi" w:hAnsiTheme="minorBidi"/>
          <w:sz w:val="28"/>
          <w:szCs w:val="28"/>
          <w:rtl/>
          <w:lang w:bidi="ar-EG"/>
        </w:rPr>
        <w:t xml:space="preserve"> والدعم المستهدف والمؤقت للقطا</w:t>
      </w:r>
      <w:r w:rsidR="000527B9" w:rsidRPr="0003289A">
        <w:rPr>
          <w:rFonts w:asciiTheme="minorBidi" w:hAnsiTheme="minorBidi"/>
          <w:sz w:val="28"/>
          <w:szCs w:val="28"/>
          <w:rtl/>
          <w:lang w:bidi="ar-EG"/>
        </w:rPr>
        <w:t>عات المتضررة بشدة من اقتصاداتها</w:t>
      </w:r>
      <w:r w:rsidRPr="0003289A">
        <w:rPr>
          <w:rFonts w:asciiTheme="minorBidi" w:hAnsiTheme="minorBidi"/>
          <w:sz w:val="28"/>
          <w:szCs w:val="28"/>
          <w:rtl/>
          <w:lang w:bidi="ar-EG"/>
        </w:rPr>
        <w:t>.</w:t>
      </w:r>
    </w:p>
    <w:p w:rsidR="005E35BB" w:rsidRPr="0003289A" w:rsidRDefault="005E35BB"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وضعت </w:t>
      </w:r>
      <w:r w:rsidR="00405B53" w:rsidRPr="0003289A">
        <w:rPr>
          <w:rFonts w:asciiTheme="minorBidi" w:hAnsiTheme="minorBidi"/>
          <w:sz w:val="28"/>
          <w:szCs w:val="28"/>
          <w:rtl/>
          <w:lang w:bidi="ar-EG"/>
        </w:rPr>
        <w:t>ال</w:t>
      </w:r>
      <w:r w:rsidRPr="0003289A">
        <w:rPr>
          <w:rFonts w:asciiTheme="minorBidi" w:hAnsiTheme="minorBidi"/>
          <w:sz w:val="28"/>
          <w:szCs w:val="28"/>
          <w:rtl/>
          <w:lang w:bidi="ar-EG"/>
        </w:rPr>
        <w:t xml:space="preserve">حزم المالية </w:t>
      </w:r>
      <w:r w:rsidR="006E0282" w:rsidRPr="0003289A">
        <w:rPr>
          <w:rFonts w:asciiTheme="minorBidi" w:hAnsiTheme="minorBidi"/>
          <w:sz w:val="28"/>
          <w:szCs w:val="28"/>
          <w:rtl/>
          <w:lang w:bidi="ar-EG"/>
        </w:rPr>
        <w:t xml:space="preserve">ذات الصلة </w:t>
      </w:r>
      <w:r w:rsidR="00405B53" w:rsidRPr="0003289A">
        <w:rPr>
          <w:rFonts w:asciiTheme="minorBidi" w:hAnsiTheme="minorBidi"/>
          <w:sz w:val="28"/>
          <w:szCs w:val="28"/>
          <w:rtl/>
          <w:lang w:bidi="ar-EG"/>
        </w:rPr>
        <w:t>بفيروس كورونا المستجد</w:t>
      </w:r>
      <w:r w:rsidRPr="0003289A">
        <w:rPr>
          <w:rFonts w:asciiTheme="minorBidi" w:hAnsiTheme="minorBidi"/>
          <w:sz w:val="28"/>
          <w:szCs w:val="28"/>
          <w:rtl/>
          <w:lang w:bidi="ar-EG"/>
        </w:rPr>
        <w:t xml:space="preserve"> وسط نقص حاد في الإيرادات الضريبية </w:t>
      </w:r>
      <w:r w:rsidR="00B468A5" w:rsidRPr="0003289A">
        <w:rPr>
          <w:rFonts w:asciiTheme="minorBidi" w:hAnsiTheme="minorBidi"/>
          <w:sz w:val="28"/>
          <w:szCs w:val="28"/>
          <w:rtl/>
          <w:lang w:bidi="ar-EG"/>
        </w:rPr>
        <w:t xml:space="preserve">التي تم تغذيتها بواسطة </w:t>
      </w:r>
      <w:r w:rsidRPr="0003289A">
        <w:rPr>
          <w:rFonts w:asciiTheme="minorBidi" w:hAnsiTheme="minorBidi"/>
          <w:sz w:val="28"/>
          <w:szCs w:val="28"/>
          <w:rtl/>
          <w:lang w:bidi="ar-EG"/>
        </w:rPr>
        <w:t xml:space="preserve">إجراءات الإغلاق في عدد من </w:t>
      </w:r>
      <w:r w:rsidR="00B468A5" w:rsidRPr="0003289A">
        <w:rPr>
          <w:rFonts w:asciiTheme="minorBidi" w:hAnsiTheme="minorBidi"/>
          <w:sz w:val="28"/>
          <w:szCs w:val="28"/>
          <w:rtl/>
          <w:lang w:bidi="ar-EG"/>
        </w:rPr>
        <w:t>الدول</w:t>
      </w:r>
      <w:r w:rsidRPr="0003289A">
        <w:rPr>
          <w:rFonts w:asciiTheme="minorBidi" w:hAnsiTheme="minorBidi"/>
          <w:sz w:val="28"/>
          <w:szCs w:val="28"/>
          <w:rtl/>
          <w:lang w:bidi="ar-EG"/>
        </w:rPr>
        <w:t xml:space="preserve"> ضغوطًا كبيرة على الحيز المالي للحكومة. وقد أدى التأثير المشت</w:t>
      </w:r>
      <w:r w:rsidR="00B468A5" w:rsidRPr="0003289A">
        <w:rPr>
          <w:rFonts w:asciiTheme="minorBidi" w:hAnsiTheme="minorBidi"/>
          <w:sz w:val="28"/>
          <w:szCs w:val="28"/>
          <w:rtl/>
          <w:lang w:bidi="ar-EG"/>
        </w:rPr>
        <w:t>رك للانخفاض الحاد في الإيرادات والتراكم السريع للديون</w:t>
      </w:r>
      <w:r w:rsidRPr="0003289A">
        <w:rPr>
          <w:rFonts w:asciiTheme="minorBidi" w:hAnsiTheme="minorBidi"/>
          <w:sz w:val="28"/>
          <w:szCs w:val="28"/>
          <w:rtl/>
          <w:lang w:bidi="ar-EG"/>
        </w:rPr>
        <w:t xml:space="preserve">، ولا سيما بالنسبة </w:t>
      </w:r>
      <w:r w:rsidR="00B468A5" w:rsidRPr="0003289A">
        <w:rPr>
          <w:rFonts w:asciiTheme="minorBidi" w:hAnsiTheme="minorBidi"/>
          <w:sz w:val="28"/>
          <w:szCs w:val="28"/>
          <w:rtl/>
          <w:lang w:bidi="ar-EG"/>
        </w:rPr>
        <w:t xml:space="preserve">للدول </w:t>
      </w:r>
      <w:r w:rsidRPr="0003289A">
        <w:rPr>
          <w:rFonts w:asciiTheme="minorBidi" w:hAnsiTheme="minorBidi"/>
          <w:sz w:val="28"/>
          <w:szCs w:val="28"/>
          <w:rtl/>
          <w:lang w:bidi="ar-EG"/>
        </w:rPr>
        <w:t>التي تعاني من عجز مالي كبير وتصلب في الميزانية فيما</w:t>
      </w:r>
      <w:r w:rsidR="00B468A5" w:rsidRPr="0003289A">
        <w:rPr>
          <w:rFonts w:asciiTheme="minorBidi" w:hAnsiTheme="minorBidi"/>
          <w:sz w:val="28"/>
          <w:szCs w:val="28"/>
          <w:rtl/>
          <w:lang w:bidi="ar-EG"/>
        </w:rPr>
        <w:t xml:space="preserve"> يتعلق بالأجور ومدفوعات الفوائد</w:t>
      </w:r>
      <w:r w:rsidRPr="0003289A">
        <w:rPr>
          <w:rFonts w:asciiTheme="minorBidi" w:hAnsiTheme="minorBidi"/>
          <w:sz w:val="28"/>
          <w:szCs w:val="28"/>
          <w:rtl/>
          <w:lang w:bidi="ar-EG"/>
        </w:rPr>
        <w:t xml:space="preserve"> إلى زيادة التعرض للتخلف عن سداد الديون. </w:t>
      </w:r>
      <w:r w:rsidR="00B468A5" w:rsidRPr="0003289A">
        <w:rPr>
          <w:rFonts w:asciiTheme="minorBidi" w:hAnsiTheme="minorBidi"/>
          <w:sz w:val="28"/>
          <w:szCs w:val="28"/>
          <w:rtl/>
          <w:lang w:bidi="ar-EG"/>
        </w:rPr>
        <w:t>و</w:t>
      </w:r>
      <w:r w:rsidRPr="0003289A">
        <w:rPr>
          <w:rFonts w:asciiTheme="minorBidi" w:hAnsiTheme="minorBidi"/>
          <w:sz w:val="28"/>
          <w:szCs w:val="28"/>
          <w:rtl/>
          <w:lang w:bidi="ar-EG"/>
        </w:rPr>
        <w:t xml:space="preserve">مع استمرار مكافحة </w:t>
      </w:r>
      <w:r w:rsidR="00B468A5" w:rsidRPr="0003289A">
        <w:rPr>
          <w:rFonts w:asciiTheme="minorBidi" w:hAnsiTheme="minorBidi"/>
          <w:sz w:val="28"/>
          <w:szCs w:val="28"/>
          <w:rtl/>
          <w:lang w:bidi="ar-EG"/>
        </w:rPr>
        <w:t>الدول ل</w:t>
      </w:r>
      <w:r w:rsidRPr="0003289A">
        <w:rPr>
          <w:rFonts w:asciiTheme="minorBidi" w:hAnsiTheme="minorBidi"/>
          <w:sz w:val="28"/>
          <w:szCs w:val="28"/>
          <w:rtl/>
          <w:lang w:bidi="ar-EG"/>
        </w:rPr>
        <w:t xml:space="preserve">لأزمة الصحية الناجمة عن </w:t>
      </w:r>
      <w:r w:rsidR="00B468A5"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وا</w:t>
      </w:r>
      <w:r w:rsidR="00B468A5" w:rsidRPr="0003289A">
        <w:rPr>
          <w:rFonts w:asciiTheme="minorBidi" w:hAnsiTheme="minorBidi"/>
          <w:sz w:val="28"/>
          <w:szCs w:val="28"/>
          <w:rtl/>
          <w:lang w:bidi="ar-EG"/>
        </w:rPr>
        <w:t>لأزمة الاقتصادية الناتجة عن ذلك</w:t>
      </w:r>
      <w:r w:rsidRPr="0003289A">
        <w:rPr>
          <w:rFonts w:asciiTheme="minorBidi" w:hAnsiTheme="minorBidi"/>
          <w:sz w:val="28"/>
          <w:szCs w:val="28"/>
          <w:rtl/>
          <w:lang w:bidi="ar-EG"/>
        </w:rPr>
        <w:t>، ستكون الاعتبارات المالية التالية حاسمة على المدى المتوسط:</w:t>
      </w:r>
    </w:p>
    <w:p w:rsidR="00102919" w:rsidRPr="0003289A" w:rsidRDefault="005E35BB" w:rsidP="0003289A">
      <w:pPr>
        <w:pStyle w:val="ListParagraph"/>
        <w:numPr>
          <w:ilvl w:val="0"/>
          <w:numId w:val="41"/>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ستحتاج </w:t>
      </w:r>
      <w:r w:rsidR="00102919"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إلى دمج تأثير </w:t>
      </w:r>
      <w:r w:rsidR="00102919" w:rsidRPr="0003289A">
        <w:rPr>
          <w:rFonts w:asciiTheme="minorBidi" w:hAnsiTheme="minorBidi"/>
          <w:sz w:val="28"/>
          <w:szCs w:val="28"/>
          <w:rtl/>
          <w:lang w:bidi="ar-EG"/>
        </w:rPr>
        <w:t xml:space="preserve">وباء فيروس كورونا المستجد </w:t>
      </w:r>
      <w:r w:rsidRPr="0003289A">
        <w:rPr>
          <w:rFonts w:asciiTheme="minorBidi" w:hAnsiTheme="minorBidi"/>
          <w:sz w:val="28"/>
          <w:szCs w:val="28"/>
          <w:rtl/>
          <w:lang w:bidi="ar-EG"/>
        </w:rPr>
        <w:t>بسرعة في أطرها المال</w:t>
      </w:r>
      <w:r w:rsidR="00102919" w:rsidRPr="0003289A">
        <w:rPr>
          <w:rFonts w:asciiTheme="minorBidi" w:hAnsiTheme="minorBidi"/>
          <w:sz w:val="28"/>
          <w:szCs w:val="28"/>
          <w:rtl/>
          <w:lang w:bidi="ar-EG"/>
        </w:rPr>
        <w:t>ية</w:t>
      </w:r>
      <w:r w:rsidRPr="0003289A">
        <w:rPr>
          <w:rFonts w:asciiTheme="minorBidi" w:hAnsiTheme="minorBidi"/>
          <w:sz w:val="28"/>
          <w:szCs w:val="28"/>
          <w:rtl/>
          <w:lang w:bidi="ar-EG"/>
        </w:rPr>
        <w:t xml:space="preserve"> وإعادة تقييم التأثير على الإيرادات وإجراء تقدير دقيق لتكاليف الاستجابات من </w:t>
      </w:r>
      <w:r w:rsidR="00102919" w:rsidRPr="0003289A">
        <w:rPr>
          <w:rFonts w:asciiTheme="minorBidi" w:hAnsiTheme="minorBidi"/>
          <w:sz w:val="28"/>
          <w:szCs w:val="28"/>
          <w:rtl/>
          <w:lang w:bidi="ar-EG"/>
        </w:rPr>
        <w:t xml:space="preserve">حيث </w:t>
      </w:r>
      <w:r w:rsidRPr="0003289A">
        <w:rPr>
          <w:rFonts w:asciiTheme="minorBidi" w:hAnsiTheme="minorBidi"/>
          <w:sz w:val="28"/>
          <w:szCs w:val="28"/>
          <w:rtl/>
          <w:lang w:bidi="ar-EG"/>
        </w:rPr>
        <w:t>الإنفاق.</w:t>
      </w:r>
    </w:p>
    <w:p w:rsidR="00102919" w:rsidRPr="0003289A" w:rsidRDefault="005E35BB" w:rsidP="0003289A">
      <w:pPr>
        <w:pStyle w:val="ListParagraph"/>
        <w:numPr>
          <w:ilvl w:val="0"/>
          <w:numId w:val="41"/>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إجراء إعادة ترتيب أولويات الإنفاق بما في ذلك إعادة جدولة </w:t>
      </w:r>
      <w:r w:rsidR="00102919" w:rsidRPr="0003289A">
        <w:rPr>
          <w:rFonts w:asciiTheme="minorBidi" w:hAnsiTheme="minorBidi"/>
          <w:sz w:val="28"/>
          <w:szCs w:val="28"/>
          <w:rtl/>
          <w:lang w:bidi="ar-EG"/>
        </w:rPr>
        <w:t xml:space="preserve">نفقات رأس المال </w:t>
      </w:r>
      <w:r w:rsidRPr="0003289A">
        <w:rPr>
          <w:rFonts w:asciiTheme="minorBidi" w:hAnsiTheme="minorBidi"/>
          <w:sz w:val="28"/>
          <w:szCs w:val="28"/>
          <w:rtl/>
          <w:lang w:bidi="ar-EG"/>
        </w:rPr>
        <w:t xml:space="preserve">والنظر في مستويات كافية من الحوافز المالية لإعادة تنشيط اقتصادات </w:t>
      </w:r>
      <w:r w:rsidR="00102919" w:rsidRPr="0003289A">
        <w:rPr>
          <w:rFonts w:asciiTheme="minorBidi" w:hAnsiTheme="minorBidi"/>
          <w:sz w:val="28"/>
          <w:szCs w:val="28"/>
          <w:rtl/>
          <w:lang w:bidi="ar-EG"/>
        </w:rPr>
        <w:t xml:space="preserve">دولة </w:t>
      </w:r>
      <w:r w:rsidRPr="0003289A">
        <w:rPr>
          <w:rFonts w:asciiTheme="minorBidi" w:hAnsiTheme="minorBidi"/>
          <w:sz w:val="28"/>
          <w:szCs w:val="28"/>
          <w:rtl/>
          <w:lang w:bidi="ar-EG"/>
        </w:rPr>
        <w:t>معين</w:t>
      </w:r>
      <w:r w:rsidR="00102919" w:rsidRPr="0003289A">
        <w:rPr>
          <w:rFonts w:asciiTheme="minorBidi" w:hAnsiTheme="minorBidi"/>
          <w:sz w:val="28"/>
          <w:szCs w:val="28"/>
          <w:rtl/>
          <w:lang w:bidi="ar-EG"/>
        </w:rPr>
        <w:t>ة</w:t>
      </w:r>
      <w:r w:rsidRPr="0003289A">
        <w:rPr>
          <w:rFonts w:asciiTheme="minorBidi" w:hAnsiTheme="minorBidi"/>
          <w:sz w:val="28"/>
          <w:szCs w:val="28"/>
          <w:rtl/>
          <w:lang w:bidi="ar-EG"/>
        </w:rPr>
        <w:t xml:space="preserve"> في ظروف خاصة بكل </w:t>
      </w:r>
      <w:r w:rsidR="00102919" w:rsidRPr="0003289A">
        <w:rPr>
          <w:rFonts w:asciiTheme="minorBidi" w:hAnsiTheme="minorBidi"/>
          <w:sz w:val="28"/>
          <w:szCs w:val="28"/>
          <w:rtl/>
          <w:lang w:bidi="ar-EG"/>
        </w:rPr>
        <w:t>دولة.</w:t>
      </w:r>
    </w:p>
    <w:p w:rsidR="00102919" w:rsidRPr="0003289A" w:rsidRDefault="005E35BB" w:rsidP="0003289A">
      <w:pPr>
        <w:pStyle w:val="ListParagraph"/>
        <w:numPr>
          <w:ilvl w:val="0"/>
          <w:numId w:val="41"/>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الحاجة إلى الاستكشاف الجاد لإمكانيات التمويل الخارجي الميسر و</w:t>
      </w:r>
      <w:r w:rsidR="00102919" w:rsidRPr="0003289A">
        <w:rPr>
          <w:rFonts w:asciiTheme="minorBidi" w:hAnsiTheme="minorBidi"/>
          <w:sz w:val="28"/>
          <w:szCs w:val="28"/>
          <w:rtl/>
          <w:lang w:bidi="ar-EG"/>
        </w:rPr>
        <w:t>التخفيف المؤقت/ الدائم للديون.</w:t>
      </w:r>
    </w:p>
    <w:p w:rsidR="006E0282" w:rsidRPr="0003289A" w:rsidRDefault="005E35BB" w:rsidP="0003289A">
      <w:pPr>
        <w:pStyle w:val="ListParagraph"/>
        <w:numPr>
          <w:ilvl w:val="0"/>
          <w:numId w:val="41"/>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هناك حاجة أيضًا إلى تحقيق التوازن بين مطالب الإنفاق الفوري استجابةً </w:t>
      </w:r>
      <w:r w:rsidR="00102919" w:rsidRPr="0003289A">
        <w:rPr>
          <w:rFonts w:asciiTheme="minorBidi" w:hAnsiTheme="minorBidi"/>
          <w:sz w:val="28"/>
          <w:szCs w:val="28"/>
          <w:rtl/>
          <w:lang w:bidi="ar-EG"/>
        </w:rPr>
        <w:t xml:space="preserve">لفيروس كورونا المستجد </w:t>
      </w:r>
      <w:r w:rsidRPr="0003289A">
        <w:rPr>
          <w:rFonts w:asciiTheme="minorBidi" w:hAnsiTheme="minorBidi"/>
          <w:sz w:val="28"/>
          <w:szCs w:val="28"/>
          <w:rtl/>
          <w:lang w:bidi="ar-EG"/>
        </w:rPr>
        <w:t>و</w:t>
      </w:r>
      <w:r w:rsidR="006E0282" w:rsidRPr="0003289A">
        <w:rPr>
          <w:rFonts w:asciiTheme="minorBidi" w:hAnsiTheme="minorBidi"/>
          <w:sz w:val="28"/>
          <w:szCs w:val="28"/>
          <w:rtl/>
          <w:lang w:bidi="ar-EG"/>
        </w:rPr>
        <w:t>التخفيضات في الاستثمارات العامة</w:t>
      </w:r>
      <w:r w:rsidRPr="0003289A">
        <w:rPr>
          <w:rFonts w:asciiTheme="minorBidi" w:hAnsiTheme="minorBidi"/>
          <w:sz w:val="28"/>
          <w:szCs w:val="28"/>
          <w:rtl/>
          <w:lang w:bidi="ar-EG"/>
        </w:rPr>
        <w:t xml:space="preserve"> لتجنب التأثير السلبي المفرط على الاقت</w:t>
      </w:r>
      <w:r w:rsidR="006E0282" w:rsidRPr="0003289A">
        <w:rPr>
          <w:rFonts w:asciiTheme="minorBidi" w:hAnsiTheme="minorBidi"/>
          <w:sz w:val="28"/>
          <w:szCs w:val="28"/>
          <w:rtl/>
          <w:lang w:bidi="ar-EG"/>
        </w:rPr>
        <w:t xml:space="preserve">صاد والعمالة والنمو المستقبلي –لأن زيادة الاستثمار العام مع التأثير المضاعف في بعض الأحيان قد يعمل </w:t>
      </w:r>
      <w:r w:rsidRPr="0003289A">
        <w:rPr>
          <w:rFonts w:asciiTheme="minorBidi" w:hAnsiTheme="minorBidi"/>
          <w:sz w:val="28"/>
          <w:szCs w:val="28"/>
          <w:rtl/>
          <w:lang w:bidi="ar-EG"/>
        </w:rPr>
        <w:t>كحافز وض</w:t>
      </w:r>
      <w:r w:rsidR="006E0282" w:rsidRPr="0003289A">
        <w:rPr>
          <w:rFonts w:asciiTheme="minorBidi" w:hAnsiTheme="minorBidi"/>
          <w:sz w:val="28"/>
          <w:szCs w:val="28"/>
          <w:rtl/>
          <w:lang w:bidi="ar-EG"/>
        </w:rPr>
        <w:t>مان مرونة طويلة الأجل للاقتصاد.</w:t>
      </w:r>
    </w:p>
    <w:p w:rsidR="005E35BB" w:rsidRPr="0003289A" w:rsidRDefault="005E35BB" w:rsidP="0003289A">
      <w:pPr>
        <w:pStyle w:val="ListParagraph"/>
        <w:numPr>
          <w:ilvl w:val="0"/>
          <w:numId w:val="41"/>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التخفيف من مخاطر الفساد و</w:t>
      </w:r>
      <w:r w:rsidR="006E0282" w:rsidRPr="0003289A">
        <w:rPr>
          <w:rFonts w:asciiTheme="minorBidi" w:hAnsiTheme="minorBidi"/>
          <w:sz w:val="28"/>
          <w:szCs w:val="28"/>
          <w:rtl/>
          <w:lang w:bidi="ar-EG"/>
        </w:rPr>
        <w:t xml:space="preserve">المخاطر </w:t>
      </w:r>
      <w:r w:rsidRPr="0003289A">
        <w:rPr>
          <w:rFonts w:asciiTheme="minorBidi" w:hAnsiTheme="minorBidi"/>
          <w:sz w:val="28"/>
          <w:szCs w:val="28"/>
          <w:rtl/>
          <w:lang w:bidi="ar-EG"/>
        </w:rPr>
        <w:t>المالية من خلال الضوا</w:t>
      </w:r>
      <w:r w:rsidR="006E0282" w:rsidRPr="0003289A">
        <w:rPr>
          <w:rFonts w:asciiTheme="minorBidi" w:hAnsiTheme="minorBidi"/>
          <w:sz w:val="28"/>
          <w:szCs w:val="28"/>
          <w:rtl/>
          <w:lang w:bidi="ar-EG"/>
        </w:rPr>
        <w:t>بط الصارمة والمراقبة والشفافية</w:t>
      </w:r>
      <w:r w:rsidRPr="0003289A">
        <w:rPr>
          <w:rFonts w:asciiTheme="minorBidi" w:hAnsiTheme="minorBidi"/>
          <w:sz w:val="28"/>
          <w:szCs w:val="28"/>
          <w:rtl/>
          <w:lang w:bidi="ar-EG"/>
        </w:rPr>
        <w:t xml:space="preserve"> ومواصلة دعم الأسر والشركات الصغيرة والمتوسطة للحفاظ على سبل العيش والعمل.</w:t>
      </w:r>
    </w:p>
    <w:p w:rsidR="00521B61" w:rsidRPr="0003289A" w:rsidRDefault="005E35BB"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من المتوقع أن يتقلص </w:t>
      </w:r>
      <w:r w:rsidR="006E0282" w:rsidRPr="0003289A">
        <w:rPr>
          <w:rFonts w:asciiTheme="minorBidi" w:hAnsiTheme="minorBidi"/>
          <w:sz w:val="28"/>
          <w:szCs w:val="28"/>
          <w:rtl/>
          <w:lang w:bidi="ar-EG"/>
        </w:rPr>
        <w:t xml:space="preserve">إجمالي الرصيد المالي </w:t>
      </w:r>
      <w:r w:rsidRPr="0003289A">
        <w:rPr>
          <w:rFonts w:asciiTheme="minorBidi" w:hAnsiTheme="minorBidi"/>
          <w:sz w:val="28"/>
          <w:szCs w:val="28"/>
          <w:rtl/>
          <w:lang w:bidi="ar-EG"/>
        </w:rPr>
        <w:t>لعام 2021 إلى -5.2</w:t>
      </w:r>
      <w:r w:rsidR="006E0282" w:rsidRPr="0003289A">
        <w:rPr>
          <w:rFonts w:asciiTheme="minorBidi" w:hAnsiTheme="minorBidi"/>
          <w:sz w:val="28"/>
          <w:szCs w:val="28"/>
          <w:rtl/>
          <w:lang w:bidi="ar-EG"/>
        </w:rPr>
        <w:t>%</w:t>
      </w:r>
      <w:r w:rsidRPr="0003289A">
        <w:rPr>
          <w:rFonts w:asciiTheme="minorBidi" w:hAnsiTheme="minorBidi"/>
          <w:sz w:val="28"/>
          <w:szCs w:val="28"/>
          <w:rtl/>
          <w:lang w:bidi="ar-EG"/>
        </w:rPr>
        <w:t xml:space="preserve"> ثم إلى -4.0</w:t>
      </w:r>
      <w:r w:rsidR="006E0282" w:rsidRPr="0003289A">
        <w:rPr>
          <w:rFonts w:asciiTheme="minorBidi" w:hAnsiTheme="minorBidi"/>
          <w:sz w:val="28"/>
          <w:szCs w:val="28"/>
          <w:rtl/>
          <w:lang w:bidi="ar-EG"/>
        </w:rPr>
        <w:t xml:space="preserve">% في عام 2022 </w:t>
      </w:r>
      <w:r w:rsidR="006E0282" w:rsidRPr="0003289A">
        <w:rPr>
          <w:rFonts w:asciiTheme="minorBidi" w:hAnsiTheme="minorBidi"/>
          <w:b/>
          <w:bCs/>
          <w:sz w:val="28"/>
          <w:szCs w:val="28"/>
          <w:rtl/>
          <w:lang w:bidi="ar-EG"/>
        </w:rPr>
        <w:t>(الشكل 3)</w:t>
      </w:r>
      <w:r w:rsidRPr="0003289A">
        <w:rPr>
          <w:rFonts w:asciiTheme="minorBidi" w:hAnsiTheme="minorBidi"/>
          <w:sz w:val="28"/>
          <w:szCs w:val="28"/>
          <w:rtl/>
          <w:lang w:bidi="ar-EG"/>
        </w:rPr>
        <w:t>، ويرجع ذلك أساسًا إ</w:t>
      </w:r>
      <w:r w:rsidR="006E0282" w:rsidRPr="0003289A">
        <w:rPr>
          <w:rFonts w:asciiTheme="minorBidi" w:hAnsiTheme="minorBidi"/>
          <w:sz w:val="28"/>
          <w:szCs w:val="28"/>
          <w:rtl/>
          <w:lang w:bidi="ar-EG"/>
        </w:rPr>
        <w:t>لى الانتعاش الاقتصادي المتوقع –</w:t>
      </w:r>
      <w:r w:rsidRPr="0003289A">
        <w:rPr>
          <w:rFonts w:asciiTheme="minorBidi" w:hAnsiTheme="minorBidi"/>
          <w:sz w:val="28"/>
          <w:szCs w:val="28"/>
          <w:rtl/>
          <w:lang w:bidi="ar-EG"/>
        </w:rPr>
        <w:t xml:space="preserve">ارتفاع الإيرادات واستئناف ضبط </w:t>
      </w:r>
      <w:r w:rsidR="006E0282" w:rsidRPr="0003289A">
        <w:rPr>
          <w:rFonts w:asciiTheme="minorBidi" w:hAnsiTheme="minorBidi"/>
          <w:sz w:val="28"/>
          <w:szCs w:val="28"/>
          <w:rtl/>
          <w:lang w:bidi="ar-EG"/>
        </w:rPr>
        <w:t xml:space="preserve">الأوضاع المالية </w:t>
      </w:r>
      <w:r w:rsidRPr="0003289A">
        <w:rPr>
          <w:rFonts w:asciiTheme="minorBidi" w:hAnsiTheme="minorBidi"/>
          <w:sz w:val="28"/>
          <w:szCs w:val="28"/>
          <w:rtl/>
          <w:lang w:bidi="ar-EG"/>
        </w:rPr>
        <w:t xml:space="preserve">في بعض </w:t>
      </w:r>
      <w:r w:rsidR="006E0282"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وانتهاء </w:t>
      </w:r>
      <w:r w:rsidR="006E0282" w:rsidRPr="0003289A">
        <w:rPr>
          <w:rFonts w:asciiTheme="minorBidi" w:hAnsiTheme="minorBidi"/>
          <w:sz w:val="28"/>
          <w:szCs w:val="28"/>
          <w:rtl/>
          <w:lang w:bidi="ar-EG"/>
        </w:rPr>
        <w:t>التدابير ذات الصلة ب</w:t>
      </w:r>
      <w:r w:rsidRPr="0003289A">
        <w:rPr>
          <w:rFonts w:asciiTheme="minorBidi" w:hAnsiTheme="minorBidi"/>
          <w:sz w:val="28"/>
          <w:szCs w:val="28"/>
          <w:rtl/>
          <w:lang w:bidi="ar-EG"/>
        </w:rPr>
        <w:t xml:space="preserve">الوباء حيث تعزز </w:t>
      </w:r>
      <w:r w:rsidR="006E0282"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نشر لقاح </w:t>
      </w:r>
      <w:r w:rsidR="006E0282" w:rsidRPr="0003289A">
        <w:rPr>
          <w:rFonts w:asciiTheme="minorBidi" w:hAnsiTheme="minorBidi"/>
          <w:sz w:val="28"/>
          <w:szCs w:val="28"/>
          <w:rtl/>
          <w:lang w:bidi="ar-EG"/>
        </w:rPr>
        <w:t>فيروس كورونا المستجد واستيعابه</w:t>
      </w:r>
      <w:r w:rsidRPr="0003289A">
        <w:rPr>
          <w:rFonts w:asciiTheme="minorBidi" w:hAnsiTheme="minorBidi"/>
          <w:sz w:val="28"/>
          <w:szCs w:val="28"/>
          <w:rtl/>
          <w:lang w:bidi="ar-EG"/>
        </w:rPr>
        <w:t>.</w:t>
      </w:r>
    </w:p>
    <w:p w:rsidR="005E35BB" w:rsidRPr="0003289A" w:rsidRDefault="005E35BB" w:rsidP="0003289A">
      <w:pPr>
        <w:bidi/>
        <w:spacing w:after="0" w:line="360" w:lineRule="auto"/>
        <w:jc w:val="both"/>
        <w:rPr>
          <w:rFonts w:asciiTheme="minorBidi" w:hAnsiTheme="minorBidi"/>
          <w:sz w:val="28"/>
          <w:szCs w:val="28"/>
          <w:rtl/>
          <w:lang w:bidi="ar-EG"/>
        </w:rPr>
      </w:pPr>
    </w:p>
    <w:p w:rsidR="005E35BB" w:rsidRPr="0003289A" w:rsidRDefault="005E35BB"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الشكل 3: متوسط الرصيد المالي الكلي للكوميسا (شاملًا المنح، النسبة من إجمالي الناتج المحلي)</w:t>
      </w:r>
    </w:p>
    <w:p w:rsidR="005E35BB" w:rsidRPr="0003289A" w:rsidRDefault="005E35BB" w:rsidP="0003289A">
      <w:pPr>
        <w:bidi/>
        <w:spacing w:after="0" w:line="360" w:lineRule="auto"/>
        <w:jc w:val="center"/>
        <w:rPr>
          <w:rFonts w:asciiTheme="minorBidi" w:hAnsiTheme="minorBidi"/>
          <w:sz w:val="28"/>
          <w:szCs w:val="28"/>
          <w:rtl/>
          <w:lang w:bidi="ar-EG"/>
        </w:rPr>
      </w:pPr>
      <w:r w:rsidRPr="0003289A">
        <w:rPr>
          <w:rFonts w:asciiTheme="minorBidi" w:hAnsiTheme="minorBidi"/>
          <w:noProof/>
        </w:rPr>
        <w:lastRenderedPageBreak/>
        <w:drawing>
          <wp:inline distT="0" distB="0" distL="0" distR="0" wp14:anchorId="7F1B4E2A" wp14:editId="559292FF">
            <wp:extent cx="5646420" cy="2453640"/>
            <wp:effectExtent l="0" t="0" r="1143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E35BB" w:rsidRPr="0003289A" w:rsidRDefault="005E35BB" w:rsidP="0003289A">
      <w:pPr>
        <w:bidi/>
        <w:spacing w:after="0" w:line="360" w:lineRule="auto"/>
        <w:jc w:val="both"/>
        <w:rPr>
          <w:rFonts w:asciiTheme="minorBidi" w:hAnsiTheme="minorBidi"/>
          <w:b/>
          <w:bCs/>
          <w:sz w:val="28"/>
          <w:szCs w:val="28"/>
          <w:rtl/>
          <w:lang w:bidi="ar-EG"/>
        </w:rPr>
      </w:pPr>
      <w:r w:rsidRPr="0003289A">
        <w:rPr>
          <w:rFonts w:asciiTheme="minorBidi" w:hAnsiTheme="minorBidi"/>
          <w:b/>
          <w:bCs/>
          <w:sz w:val="28"/>
          <w:szCs w:val="28"/>
          <w:rtl/>
          <w:lang w:bidi="ar-EG"/>
        </w:rPr>
        <w:t>المصدر: آفاق الاقتصاد الإقليمي لأفريقيا جنوب الصحراء بواسطة صندوق النقد الدولي –أبريل 2021</w:t>
      </w:r>
    </w:p>
    <w:p w:rsidR="005E35BB" w:rsidRPr="0003289A" w:rsidRDefault="005E35BB" w:rsidP="0003289A">
      <w:pPr>
        <w:bidi/>
        <w:spacing w:after="0" w:line="360" w:lineRule="auto"/>
        <w:jc w:val="both"/>
        <w:rPr>
          <w:rFonts w:asciiTheme="minorBidi" w:hAnsiTheme="minorBidi"/>
          <w:b/>
          <w:bCs/>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5" w:name="_Toc82709012"/>
      <w:r w:rsidRPr="0003289A">
        <w:rPr>
          <w:rFonts w:asciiTheme="minorBidi" w:hAnsiTheme="minorBidi" w:cstheme="minorBidi"/>
          <w:rtl/>
        </w:rPr>
        <w:t>الدين الحكومي</w:t>
      </w:r>
      <w:bookmarkEnd w:id="5"/>
    </w:p>
    <w:p w:rsidR="00521B61" w:rsidRPr="0003289A" w:rsidRDefault="005E35BB"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ارتفع متوسط ​​الدين الحكومي </w:t>
      </w:r>
      <w:r w:rsidR="003600A0" w:rsidRPr="0003289A">
        <w:rPr>
          <w:rFonts w:asciiTheme="minorBidi" w:hAnsiTheme="minorBidi"/>
          <w:sz w:val="28"/>
          <w:szCs w:val="28"/>
          <w:rtl/>
          <w:lang w:bidi="ar-EG"/>
        </w:rPr>
        <w:t xml:space="preserve">للإقليم </w:t>
      </w:r>
      <w:r w:rsidRPr="0003289A">
        <w:rPr>
          <w:rFonts w:asciiTheme="minorBidi" w:hAnsiTheme="minorBidi"/>
          <w:sz w:val="28"/>
          <w:szCs w:val="28"/>
          <w:rtl/>
          <w:lang w:bidi="ar-EG"/>
        </w:rPr>
        <w:t xml:space="preserve">كنسبة من </w:t>
      </w:r>
      <w:r w:rsidR="003600A0" w:rsidRPr="0003289A">
        <w:rPr>
          <w:rFonts w:asciiTheme="minorBidi" w:hAnsiTheme="minorBidi"/>
          <w:sz w:val="28"/>
          <w:szCs w:val="28"/>
          <w:rtl/>
          <w:lang w:bidi="ar-EG"/>
        </w:rPr>
        <w:t xml:space="preserve">إجمالي </w:t>
      </w:r>
      <w:r w:rsidRPr="0003289A">
        <w:rPr>
          <w:rFonts w:asciiTheme="minorBidi" w:hAnsiTheme="minorBidi"/>
          <w:sz w:val="28"/>
          <w:szCs w:val="28"/>
          <w:rtl/>
          <w:lang w:bidi="ar-EG"/>
        </w:rPr>
        <w:t>الناتج المحلي إلى 59.3</w:t>
      </w:r>
      <w:r w:rsidR="006E0282"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w:t>
      </w:r>
      <w:r w:rsidR="003600A0" w:rsidRPr="0003289A">
        <w:rPr>
          <w:rFonts w:asciiTheme="minorBidi" w:hAnsiTheme="minorBidi"/>
          <w:sz w:val="28"/>
          <w:szCs w:val="28"/>
          <w:rtl/>
          <w:lang w:bidi="ar-EG"/>
        </w:rPr>
        <w:t xml:space="preserve"> 2020 </w:t>
      </w:r>
      <w:r w:rsidRPr="0003289A">
        <w:rPr>
          <w:rFonts w:asciiTheme="minorBidi" w:hAnsiTheme="minorBidi"/>
          <w:sz w:val="28"/>
          <w:szCs w:val="28"/>
          <w:rtl/>
          <w:lang w:bidi="ar-EG"/>
        </w:rPr>
        <w:t>مقارنة</w:t>
      </w:r>
      <w:r w:rsidR="003600A0" w:rsidRPr="0003289A">
        <w:rPr>
          <w:rFonts w:asciiTheme="minorBidi" w:hAnsiTheme="minorBidi"/>
          <w:sz w:val="28"/>
          <w:szCs w:val="28"/>
          <w:rtl/>
          <w:lang w:bidi="ar-EG"/>
        </w:rPr>
        <w:t>ً</w:t>
      </w:r>
      <w:r w:rsidRPr="0003289A">
        <w:rPr>
          <w:rFonts w:asciiTheme="minorBidi" w:hAnsiTheme="minorBidi"/>
          <w:sz w:val="28"/>
          <w:szCs w:val="28"/>
          <w:rtl/>
          <w:lang w:bidi="ar-EG"/>
        </w:rPr>
        <w:t xml:space="preserve"> </w:t>
      </w:r>
      <w:r w:rsidR="003600A0" w:rsidRPr="0003289A">
        <w:rPr>
          <w:rFonts w:asciiTheme="minorBidi" w:hAnsiTheme="minorBidi"/>
          <w:sz w:val="28"/>
          <w:szCs w:val="28"/>
          <w:rtl/>
          <w:lang w:bidi="ar-EG"/>
        </w:rPr>
        <w:t>بالنسبة</w:t>
      </w:r>
      <w:r w:rsidRPr="0003289A">
        <w:rPr>
          <w:rFonts w:asciiTheme="minorBidi" w:hAnsiTheme="minorBidi"/>
          <w:sz w:val="28"/>
          <w:szCs w:val="28"/>
          <w:rtl/>
          <w:lang w:bidi="ar-EG"/>
        </w:rPr>
        <w:t xml:space="preserve"> 56.6</w:t>
      </w:r>
      <w:r w:rsidR="006E0282"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w:t>
      </w:r>
      <w:r w:rsidR="003600A0" w:rsidRPr="0003289A">
        <w:rPr>
          <w:rFonts w:asciiTheme="minorBidi" w:hAnsiTheme="minorBidi"/>
          <w:sz w:val="28"/>
          <w:szCs w:val="28"/>
          <w:rtl/>
          <w:lang w:bidi="ar-EG"/>
        </w:rPr>
        <w:t xml:space="preserve"> 2019</w:t>
      </w:r>
      <w:r w:rsidRPr="0003289A">
        <w:rPr>
          <w:rFonts w:asciiTheme="minorBidi" w:hAnsiTheme="minorBidi"/>
          <w:sz w:val="28"/>
          <w:szCs w:val="28"/>
          <w:rtl/>
          <w:lang w:bidi="ar-EG"/>
        </w:rPr>
        <w:t xml:space="preserve">، ويرجع ذلك أساسًا إلى </w:t>
      </w:r>
      <w:r w:rsidR="003600A0" w:rsidRPr="0003289A">
        <w:rPr>
          <w:rFonts w:asciiTheme="minorBidi" w:hAnsiTheme="minorBidi"/>
          <w:sz w:val="28"/>
          <w:szCs w:val="28"/>
          <w:rtl/>
          <w:lang w:bidi="ar-EG"/>
        </w:rPr>
        <w:t xml:space="preserve">وباء فيروس كورونا المستجد </w:t>
      </w:r>
      <w:r w:rsidRPr="0003289A">
        <w:rPr>
          <w:rFonts w:asciiTheme="minorBidi" w:hAnsiTheme="minorBidi"/>
          <w:b/>
          <w:bCs/>
          <w:sz w:val="28"/>
          <w:szCs w:val="28"/>
          <w:rtl/>
          <w:lang w:bidi="ar-EG"/>
        </w:rPr>
        <w:t>(الشكل 4)</w:t>
      </w:r>
      <w:r w:rsidRPr="0003289A">
        <w:rPr>
          <w:rFonts w:asciiTheme="minorBidi" w:hAnsiTheme="minorBidi"/>
          <w:sz w:val="28"/>
          <w:szCs w:val="28"/>
          <w:rtl/>
          <w:lang w:bidi="ar-EG"/>
        </w:rPr>
        <w:t xml:space="preserve">. </w:t>
      </w:r>
      <w:r w:rsidR="003600A0" w:rsidRPr="0003289A">
        <w:rPr>
          <w:rFonts w:asciiTheme="minorBidi" w:hAnsiTheme="minorBidi"/>
          <w:sz w:val="28"/>
          <w:szCs w:val="28"/>
          <w:rtl/>
          <w:lang w:bidi="ar-EG"/>
        </w:rPr>
        <w:t xml:space="preserve">وقد </w:t>
      </w:r>
      <w:r w:rsidRPr="0003289A">
        <w:rPr>
          <w:rFonts w:asciiTheme="minorBidi" w:hAnsiTheme="minorBidi"/>
          <w:sz w:val="28"/>
          <w:szCs w:val="28"/>
          <w:rtl/>
          <w:lang w:bidi="ar-EG"/>
        </w:rPr>
        <w:t xml:space="preserve">أدت احتياجات النفقات المتكررة </w:t>
      </w:r>
      <w:r w:rsidR="003600A0" w:rsidRPr="0003289A">
        <w:rPr>
          <w:rFonts w:asciiTheme="minorBidi" w:hAnsiTheme="minorBidi"/>
          <w:sz w:val="28"/>
          <w:szCs w:val="28"/>
          <w:rtl/>
          <w:lang w:bidi="ar-EG"/>
        </w:rPr>
        <w:t>ذات الصلة بفيروس كورونا المستجد</w:t>
      </w:r>
      <w:r w:rsidRPr="0003289A">
        <w:rPr>
          <w:rFonts w:asciiTheme="minorBidi" w:hAnsiTheme="minorBidi"/>
          <w:sz w:val="28"/>
          <w:szCs w:val="28"/>
          <w:rtl/>
          <w:lang w:bidi="ar-EG"/>
        </w:rPr>
        <w:t xml:space="preserve"> إلى جانب الانخفاض الحاد في الإيرادات الناجم عن الإغلاق والتباطؤ الاقتصادي</w:t>
      </w:r>
      <w:r w:rsidR="00D41332" w:rsidRPr="0003289A">
        <w:rPr>
          <w:rFonts w:asciiTheme="minorBidi" w:hAnsiTheme="minorBidi"/>
          <w:sz w:val="28"/>
          <w:szCs w:val="28"/>
          <w:rtl/>
          <w:lang w:bidi="ar-EG"/>
        </w:rPr>
        <w:t xml:space="preserve"> العام خلال العام قيد المراجعة</w:t>
      </w:r>
      <w:r w:rsidRPr="0003289A">
        <w:rPr>
          <w:rFonts w:asciiTheme="minorBidi" w:hAnsiTheme="minorBidi"/>
          <w:sz w:val="28"/>
          <w:szCs w:val="28"/>
          <w:rtl/>
          <w:lang w:bidi="ar-EG"/>
        </w:rPr>
        <w:t xml:space="preserve"> إلى ممارسة ضغوط كبيرة على </w:t>
      </w:r>
      <w:r w:rsidR="00D41332" w:rsidRPr="0003289A">
        <w:rPr>
          <w:rFonts w:asciiTheme="minorBidi" w:hAnsiTheme="minorBidi"/>
          <w:sz w:val="28"/>
          <w:szCs w:val="28"/>
          <w:rtl/>
          <w:lang w:bidi="ar-EG"/>
        </w:rPr>
        <w:t xml:space="preserve">الشؤون المالية </w:t>
      </w:r>
      <w:r w:rsidRPr="0003289A">
        <w:rPr>
          <w:rFonts w:asciiTheme="minorBidi" w:hAnsiTheme="minorBidi"/>
          <w:sz w:val="28"/>
          <w:szCs w:val="28"/>
          <w:rtl/>
          <w:lang w:bidi="ar-EG"/>
        </w:rPr>
        <w:t xml:space="preserve">الحكومية وأجبرت جميع الاقتصادات في </w:t>
      </w:r>
      <w:r w:rsidR="00D41332" w:rsidRPr="0003289A">
        <w:rPr>
          <w:rFonts w:asciiTheme="minorBidi" w:hAnsiTheme="minorBidi"/>
          <w:sz w:val="28"/>
          <w:szCs w:val="28"/>
          <w:rtl/>
          <w:lang w:bidi="ar-EG"/>
        </w:rPr>
        <w:t xml:space="preserve">الإقليم </w:t>
      </w:r>
      <w:r w:rsidRPr="0003289A">
        <w:rPr>
          <w:rFonts w:asciiTheme="minorBidi" w:hAnsiTheme="minorBidi"/>
          <w:sz w:val="28"/>
          <w:szCs w:val="28"/>
          <w:rtl/>
          <w:lang w:bidi="ar-EG"/>
        </w:rPr>
        <w:t>تقريبًا على تحمل عجز مالي متزايد.</w:t>
      </w:r>
    </w:p>
    <w:p w:rsidR="005E35BB" w:rsidRPr="0003289A" w:rsidRDefault="005E35BB" w:rsidP="0003289A">
      <w:pPr>
        <w:bidi/>
        <w:spacing w:after="0" w:line="360" w:lineRule="auto"/>
        <w:jc w:val="both"/>
        <w:rPr>
          <w:rFonts w:asciiTheme="minorBidi" w:hAnsiTheme="minorBidi"/>
          <w:sz w:val="28"/>
          <w:szCs w:val="28"/>
          <w:rtl/>
          <w:lang w:bidi="ar-EG"/>
        </w:rPr>
      </w:pPr>
    </w:p>
    <w:p w:rsidR="005E35BB" w:rsidRPr="0003289A" w:rsidRDefault="005E35BB"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الشكل 4: متوسط الدين الحكومي للكوميسا (النسبة من إجمالي الناتج المحلي)</w:t>
      </w:r>
    </w:p>
    <w:p w:rsidR="005E35BB" w:rsidRPr="0003289A" w:rsidRDefault="005E35BB" w:rsidP="0003289A">
      <w:pPr>
        <w:bidi/>
        <w:spacing w:after="0" w:line="360" w:lineRule="auto"/>
        <w:jc w:val="center"/>
        <w:rPr>
          <w:rFonts w:asciiTheme="minorBidi" w:hAnsiTheme="minorBidi"/>
          <w:b/>
          <w:bCs/>
          <w:sz w:val="28"/>
          <w:szCs w:val="28"/>
          <w:rtl/>
          <w:lang w:bidi="ar-EG"/>
        </w:rPr>
      </w:pPr>
      <w:r w:rsidRPr="0003289A">
        <w:rPr>
          <w:rFonts w:asciiTheme="minorBidi" w:hAnsiTheme="minorBidi"/>
          <w:noProof/>
        </w:rPr>
        <w:drawing>
          <wp:inline distT="0" distB="0" distL="0" distR="0" wp14:anchorId="1AACEA35" wp14:editId="76A1AFA5">
            <wp:extent cx="5722620" cy="2346960"/>
            <wp:effectExtent l="0" t="0" r="1143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35BB" w:rsidRPr="0003289A" w:rsidRDefault="005E35BB" w:rsidP="0003289A">
      <w:pPr>
        <w:bidi/>
        <w:spacing w:after="0" w:line="360" w:lineRule="auto"/>
        <w:jc w:val="both"/>
        <w:rPr>
          <w:rFonts w:asciiTheme="minorBidi" w:hAnsiTheme="minorBidi"/>
          <w:b/>
          <w:bCs/>
          <w:sz w:val="28"/>
          <w:szCs w:val="28"/>
          <w:rtl/>
          <w:lang w:bidi="ar-EG"/>
        </w:rPr>
      </w:pPr>
      <w:r w:rsidRPr="0003289A">
        <w:rPr>
          <w:rFonts w:asciiTheme="minorBidi" w:hAnsiTheme="minorBidi"/>
          <w:b/>
          <w:bCs/>
          <w:sz w:val="28"/>
          <w:szCs w:val="28"/>
          <w:rtl/>
          <w:lang w:bidi="ar-EG"/>
        </w:rPr>
        <w:t>المصدر: آفاق الاقتصاد الإقليمي لأفريقيا جنوب الصحراء بواسطة صندوق النقد الدولي –أبريل 2021</w:t>
      </w:r>
    </w:p>
    <w:p w:rsidR="005E35BB" w:rsidRPr="0003289A" w:rsidRDefault="005E35BB" w:rsidP="0003289A">
      <w:pPr>
        <w:bidi/>
        <w:spacing w:after="0" w:line="360" w:lineRule="auto"/>
        <w:jc w:val="both"/>
        <w:rPr>
          <w:rFonts w:asciiTheme="minorBidi" w:hAnsiTheme="minorBidi"/>
          <w:sz w:val="28"/>
          <w:szCs w:val="28"/>
          <w:rtl/>
          <w:lang w:bidi="ar-EG"/>
        </w:rPr>
      </w:pPr>
    </w:p>
    <w:p w:rsidR="005E35BB" w:rsidRPr="0003289A" w:rsidRDefault="00D41332"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من الآن فصاعدًا</w:t>
      </w:r>
      <w:r w:rsidR="005E35BB" w:rsidRPr="0003289A">
        <w:rPr>
          <w:rFonts w:asciiTheme="minorBidi" w:hAnsiTheme="minorBidi"/>
          <w:sz w:val="28"/>
          <w:szCs w:val="28"/>
          <w:rtl/>
          <w:lang w:bidi="ar-EG"/>
        </w:rPr>
        <w:t xml:space="preserve">، من المتوقع أن يتراجع متوسط ​​نسبة الدين الحكومي في </w:t>
      </w:r>
      <w:r w:rsidRPr="0003289A">
        <w:rPr>
          <w:rFonts w:asciiTheme="minorBidi" w:hAnsiTheme="minorBidi"/>
          <w:sz w:val="28"/>
          <w:szCs w:val="28"/>
          <w:rtl/>
          <w:lang w:bidi="ar-EG"/>
        </w:rPr>
        <w:t xml:space="preserve">الإقليم </w:t>
      </w:r>
      <w:r w:rsidR="005E35BB" w:rsidRPr="0003289A">
        <w:rPr>
          <w:rFonts w:asciiTheme="minorBidi" w:hAnsiTheme="minorBidi"/>
          <w:sz w:val="28"/>
          <w:szCs w:val="28"/>
          <w:rtl/>
          <w:lang w:bidi="ar-EG"/>
        </w:rPr>
        <w:t xml:space="preserve">إلى </w:t>
      </w:r>
      <w:r w:rsidRPr="0003289A">
        <w:rPr>
          <w:rFonts w:asciiTheme="minorBidi" w:hAnsiTheme="minorBidi"/>
          <w:sz w:val="28"/>
          <w:szCs w:val="28"/>
          <w:rtl/>
          <w:lang w:bidi="ar-EG"/>
        </w:rPr>
        <w:t xml:space="preserve">إجمالي </w:t>
      </w:r>
      <w:r w:rsidR="005E35BB" w:rsidRPr="0003289A">
        <w:rPr>
          <w:rFonts w:asciiTheme="minorBidi" w:hAnsiTheme="minorBidi"/>
          <w:sz w:val="28"/>
          <w:szCs w:val="28"/>
          <w:rtl/>
          <w:lang w:bidi="ar-EG"/>
        </w:rPr>
        <w:t xml:space="preserve">الناتج المحلي إلى حد ما إلى 58.3 في عام 2021. ومع ذلك، إذا أدت الإصابات والمتغيرات الجديدة إلى عمليات إغلاق جديدة كما هو الحال بالفعل في بعض </w:t>
      </w:r>
      <w:r w:rsidRPr="0003289A">
        <w:rPr>
          <w:rFonts w:asciiTheme="minorBidi" w:hAnsiTheme="minorBidi"/>
          <w:sz w:val="28"/>
          <w:szCs w:val="28"/>
          <w:rtl/>
          <w:lang w:bidi="ar-EG"/>
        </w:rPr>
        <w:t xml:space="preserve">الدول </w:t>
      </w:r>
      <w:r w:rsidR="005E35BB" w:rsidRPr="0003289A">
        <w:rPr>
          <w:rFonts w:asciiTheme="minorBidi" w:hAnsiTheme="minorBidi"/>
          <w:sz w:val="28"/>
          <w:szCs w:val="28"/>
          <w:rtl/>
          <w:lang w:bidi="ar-EG"/>
        </w:rPr>
        <w:t xml:space="preserve">في </w:t>
      </w:r>
      <w:r w:rsidRPr="0003289A">
        <w:rPr>
          <w:rFonts w:asciiTheme="minorBidi" w:hAnsiTheme="minorBidi"/>
          <w:sz w:val="28"/>
          <w:szCs w:val="28"/>
          <w:rtl/>
          <w:lang w:bidi="ar-EG"/>
        </w:rPr>
        <w:t>الإقليم</w:t>
      </w:r>
      <w:r w:rsidR="005E35BB" w:rsidRPr="0003289A">
        <w:rPr>
          <w:rFonts w:asciiTheme="minorBidi" w:hAnsiTheme="minorBidi"/>
          <w:sz w:val="28"/>
          <w:szCs w:val="28"/>
          <w:rtl/>
          <w:lang w:bidi="ar-EG"/>
        </w:rPr>
        <w:t xml:space="preserve">، وإذا تضاعف ذلك بسبب التأخير في </w:t>
      </w:r>
      <w:r w:rsidRPr="0003289A">
        <w:rPr>
          <w:rFonts w:asciiTheme="minorBidi" w:hAnsiTheme="minorBidi"/>
          <w:sz w:val="28"/>
          <w:szCs w:val="28"/>
          <w:rtl/>
          <w:lang w:bidi="ar-EG"/>
        </w:rPr>
        <w:t>التطعيمات</w:t>
      </w:r>
      <w:r w:rsidR="005E35BB" w:rsidRPr="0003289A">
        <w:rPr>
          <w:rFonts w:asciiTheme="minorBidi" w:hAnsiTheme="minorBidi"/>
          <w:sz w:val="28"/>
          <w:szCs w:val="28"/>
          <w:rtl/>
          <w:lang w:bidi="ar-EG"/>
        </w:rPr>
        <w:t xml:space="preserve">، يمكن أن تزداد مخاطر الديون </w:t>
      </w:r>
      <w:r w:rsidRPr="0003289A">
        <w:rPr>
          <w:rFonts w:asciiTheme="minorBidi" w:hAnsiTheme="minorBidi"/>
          <w:sz w:val="28"/>
          <w:szCs w:val="28"/>
          <w:rtl/>
          <w:lang w:bidi="ar-EG"/>
        </w:rPr>
        <w:t xml:space="preserve">والتمويلات الحكومية الإقليمية </w:t>
      </w:r>
      <w:r w:rsidR="005E35BB" w:rsidRPr="0003289A">
        <w:rPr>
          <w:rFonts w:asciiTheme="minorBidi" w:hAnsiTheme="minorBidi"/>
          <w:sz w:val="28"/>
          <w:szCs w:val="28"/>
          <w:rtl/>
          <w:lang w:bidi="ar-EG"/>
        </w:rPr>
        <w:t>مما يع</w:t>
      </w:r>
      <w:r w:rsidRPr="0003289A">
        <w:rPr>
          <w:rFonts w:asciiTheme="minorBidi" w:hAnsiTheme="minorBidi"/>
          <w:sz w:val="28"/>
          <w:szCs w:val="28"/>
          <w:rtl/>
          <w:lang w:bidi="ar-EG"/>
        </w:rPr>
        <w:t>قد الخيارات لحيز السياسة الحالي، وتتعرض هذه الدول في النهاية إلى التخلف عن سداد الديون. وبالفعل</w:t>
      </w:r>
      <w:r w:rsidR="005E35BB" w:rsidRPr="0003289A">
        <w:rPr>
          <w:rFonts w:asciiTheme="minorBidi" w:hAnsiTheme="minorBidi"/>
          <w:sz w:val="28"/>
          <w:szCs w:val="28"/>
          <w:rtl/>
          <w:lang w:bidi="ar-EG"/>
        </w:rPr>
        <w:t xml:space="preserve">، فإن نسبة الدين إلى </w:t>
      </w:r>
      <w:r w:rsidRPr="0003289A">
        <w:rPr>
          <w:rFonts w:asciiTheme="minorBidi" w:hAnsiTheme="minorBidi"/>
          <w:sz w:val="28"/>
          <w:szCs w:val="28"/>
          <w:rtl/>
          <w:lang w:bidi="ar-EG"/>
        </w:rPr>
        <w:t xml:space="preserve">إجمالي </w:t>
      </w:r>
      <w:r w:rsidR="005E35BB" w:rsidRPr="0003289A">
        <w:rPr>
          <w:rFonts w:asciiTheme="minorBidi" w:hAnsiTheme="minorBidi"/>
          <w:sz w:val="28"/>
          <w:szCs w:val="28"/>
          <w:rtl/>
          <w:lang w:bidi="ar-EG"/>
        </w:rPr>
        <w:t xml:space="preserve">الناتج المحلي </w:t>
      </w:r>
      <w:r w:rsidRPr="0003289A">
        <w:rPr>
          <w:rFonts w:asciiTheme="minorBidi" w:hAnsiTheme="minorBidi"/>
          <w:sz w:val="28"/>
          <w:szCs w:val="28"/>
          <w:rtl/>
          <w:lang w:bidi="ar-EG"/>
        </w:rPr>
        <w:t xml:space="preserve">للدول </w:t>
      </w:r>
      <w:r w:rsidR="005E35BB" w:rsidRPr="0003289A">
        <w:rPr>
          <w:rFonts w:asciiTheme="minorBidi" w:hAnsiTheme="minorBidi"/>
          <w:sz w:val="28"/>
          <w:szCs w:val="28"/>
          <w:rtl/>
          <w:lang w:bidi="ar-EG"/>
        </w:rPr>
        <w:t xml:space="preserve">الفردية تصور وضعًا أكثر خطورة وأزمة حيث من المتوقع أن ترتفع نسبة الدين إلى </w:t>
      </w:r>
      <w:r w:rsidRPr="0003289A">
        <w:rPr>
          <w:rFonts w:asciiTheme="minorBidi" w:hAnsiTheme="minorBidi"/>
          <w:sz w:val="28"/>
          <w:szCs w:val="28"/>
          <w:rtl/>
          <w:lang w:bidi="ar-EG"/>
        </w:rPr>
        <w:t xml:space="preserve">إجمالي </w:t>
      </w:r>
      <w:r w:rsidR="005E35BB" w:rsidRPr="0003289A">
        <w:rPr>
          <w:rFonts w:asciiTheme="minorBidi" w:hAnsiTheme="minorBidi"/>
          <w:sz w:val="28"/>
          <w:szCs w:val="28"/>
          <w:rtl/>
          <w:lang w:bidi="ar-EG"/>
        </w:rPr>
        <w:t xml:space="preserve">الناتج المحلي في بعض </w:t>
      </w:r>
      <w:r w:rsidRPr="0003289A">
        <w:rPr>
          <w:rFonts w:asciiTheme="minorBidi" w:hAnsiTheme="minorBidi"/>
          <w:sz w:val="28"/>
          <w:szCs w:val="28"/>
          <w:rtl/>
          <w:lang w:bidi="ar-EG"/>
        </w:rPr>
        <w:t xml:space="preserve">الدول </w:t>
      </w:r>
      <w:r w:rsidR="005E35BB" w:rsidRPr="0003289A">
        <w:rPr>
          <w:rFonts w:asciiTheme="minorBidi" w:hAnsiTheme="minorBidi"/>
          <w:sz w:val="28"/>
          <w:szCs w:val="28"/>
          <w:rtl/>
          <w:lang w:bidi="ar-EG"/>
        </w:rPr>
        <w:t>لتتجاوز 80</w:t>
      </w:r>
      <w:r w:rsidR="006E0282" w:rsidRPr="0003289A">
        <w:rPr>
          <w:rFonts w:asciiTheme="minorBidi" w:hAnsiTheme="minorBidi"/>
          <w:sz w:val="28"/>
          <w:szCs w:val="28"/>
          <w:rtl/>
          <w:lang w:bidi="ar-EG"/>
        </w:rPr>
        <w:t>%</w:t>
      </w:r>
      <w:r w:rsidRPr="0003289A">
        <w:rPr>
          <w:rFonts w:asciiTheme="minorBidi" w:hAnsiTheme="minorBidi"/>
          <w:sz w:val="28"/>
          <w:szCs w:val="28"/>
          <w:rtl/>
          <w:lang w:bidi="ar-EG"/>
        </w:rPr>
        <w:t>. وبالتالي</w:t>
      </w:r>
      <w:r w:rsidR="005E35BB" w:rsidRPr="0003289A">
        <w:rPr>
          <w:rFonts w:asciiTheme="minorBidi" w:hAnsiTheme="minorBidi"/>
          <w:sz w:val="28"/>
          <w:szCs w:val="28"/>
          <w:rtl/>
          <w:lang w:bidi="ar-EG"/>
        </w:rPr>
        <w:t xml:space="preserve">، ما لم يتم </w:t>
      </w:r>
      <w:r w:rsidRPr="0003289A">
        <w:rPr>
          <w:rFonts w:asciiTheme="minorBidi" w:hAnsiTheme="minorBidi"/>
          <w:sz w:val="28"/>
          <w:szCs w:val="28"/>
          <w:rtl/>
          <w:lang w:bidi="ar-EG"/>
        </w:rPr>
        <w:t>تنفيذ تدابير للحد من نمو الديون</w:t>
      </w:r>
      <w:r w:rsidR="005E35BB" w:rsidRPr="0003289A">
        <w:rPr>
          <w:rFonts w:asciiTheme="minorBidi" w:hAnsiTheme="minorBidi"/>
          <w:sz w:val="28"/>
          <w:szCs w:val="28"/>
          <w:rtl/>
          <w:lang w:bidi="ar-EG"/>
        </w:rPr>
        <w:t xml:space="preserve">، فقد تواجه هذه </w:t>
      </w:r>
      <w:r w:rsidRPr="0003289A">
        <w:rPr>
          <w:rFonts w:asciiTheme="minorBidi" w:hAnsiTheme="minorBidi"/>
          <w:sz w:val="28"/>
          <w:szCs w:val="28"/>
          <w:rtl/>
          <w:lang w:bidi="ar-EG"/>
        </w:rPr>
        <w:t xml:space="preserve">الدول </w:t>
      </w:r>
      <w:r w:rsidR="005E35BB" w:rsidRPr="0003289A">
        <w:rPr>
          <w:rFonts w:asciiTheme="minorBidi" w:hAnsiTheme="minorBidi"/>
          <w:sz w:val="28"/>
          <w:szCs w:val="28"/>
          <w:rtl/>
          <w:lang w:bidi="ar-EG"/>
        </w:rPr>
        <w:t>انفجارًا في مخزون الديون ال</w:t>
      </w:r>
      <w:r w:rsidRPr="0003289A">
        <w:rPr>
          <w:rFonts w:asciiTheme="minorBidi" w:hAnsiTheme="minorBidi"/>
          <w:sz w:val="28"/>
          <w:szCs w:val="28"/>
          <w:rtl/>
          <w:lang w:bidi="ar-EG"/>
        </w:rPr>
        <w:t>خارجية وتكاليف الخدمات حيث إنها إذا تركت دون رادع</w:t>
      </w:r>
      <w:r w:rsidR="005E35BB" w:rsidRPr="0003289A">
        <w:rPr>
          <w:rFonts w:asciiTheme="minorBidi" w:hAnsiTheme="minorBidi"/>
          <w:sz w:val="28"/>
          <w:szCs w:val="28"/>
          <w:rtl/>
          <w:lang w:bidi="ar-EG"/>
        </w:rPr>
        <w:t xml:space="preserve">، </w:t>
      </w:r>
      <w:r w:rsidRPr="0003289A">
        <w:rPr>
          <w:rFonts w:asciiTheme="minorBidi" w:hAnsiTheme="minorBidi"/>
          <w:sz w:val="28"/>
          <w:szCs w:val="28"/>
          <w:rtl/>
          <w:lang w:bidi="ar-EG"/>
        </w:rPr>
        <w:t xml:space="preserve">يمكن أن يؤدي </w:t>
      </w:r>
      <w:r w:rsidR="005E35BB" w:rsidRPr="0003289A">
        <w:rPr>
          <w:rFonts w:asciiTheme="minorBidi" w:hAnsiTheme="minorBidi"/>
          <w:sz w:val="28"/>
          <w:szCs w:val="28"/>
          <w:rtl/>
          <w:lang w:bidi="ar-EG"/>
        </w:rPr>
        <w:t xml:space="preserve">معدل تراكم الديون </w:t>
      </w:r>
      <w:r w:rsidRPr="0003289A">
        <w:rPr>
          <w:rFonts w:asciiTheme="minorBidi" w:hAnsiTheme="minorBidi"/>
          <w:sz w:val="28"/>
          <w:szCs w:val="28"/>
          <w:rtl/>
          <w:lang w:bidi="ar-EG"/>
        </w:rPr>
        <w:t>إلى مصدر رئيس</w:t>
      </w:r>
      <w:r w:rsidR="005E35BB" w:rsidRPr="0003289A">
        <w:rPr>
          <w:rFonts w:asciiTheme="minorBidi" w:hAnsiTheme="minorBidi"/>
          <w:sz w:val="28"/>
          <w:szCs w:val="28"/>
          <w:rtl/>
          <w:lang w:bidi="ar-EG"/>
        </w:rPr>
        <w:t xml:space="preserve"> لعدم استقرار الاقتصاد الكلي. </w:t>
      </w:r>
      <w:r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سيكون تخفيف الديون ضروريًا لمكافحة </w:t>
      </w:r>
      <w:r w:rsidRPr="0003289A">
        <w:rPr>
          <w:rFonts w:asciiTheme="minorBidi" w:hAnsiTheme="minorBidi"/>
          <w:sz w:val="28"/>
          <w:szCs w:val="28"/>
          <w:rtl/>
          <w:lang w:bidi="ar-EG"/>
        </w:rPr>
        <w:t xml:space="preserve">وباء فيروس كورونا المستجد </w:t>
      </w:r>
      <w:r w:rsidR="005E35BB" w:rsidRPr="0003289A">
        <w:rPr>
          <w:rFonts w:asciiTheme="minorBidi" w:hAnsiTheme="minorBidi"/>
          <w:sz w:val="28"/>
          <w:szCs w:val="28"/>
          <w:rtl/>
          <w:lang w:bidi="ar-EG"/>
        </w:rPr>
        <w:t>مع الحفاظ على استقرار الاقتصاد الكلي.</w:t>
      </w:r>
    </w:p>
    <w:p w:rsidR="005E35BB" w:rsidRPr="0003289A" w:rsidRDefault="00A77DCF"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لا تمتلك </w:t>
      </w:r>
      <w:r w:rsidR="005E35BB" w:rsidRPr="0003289A">
        <w:rPr>
          <w:rFonts w:asciiTheme="minorBidi" w:hAnsiTheme="minorBidi"/>
          <w:sz w:val="28"/>
          <w:szCs w:val="28"/>
          <w:rtl/>
          <w:lang w:bidi="ar-EG"/>
        </w:rPr>
        <w:t xml:space="preserve">معظم الاقتصادات في </w:t>
      </w:r>
      <w:r w:rsidRPr="0003289A">
        <w:rPr>
          <w:rFonts w:asciiTheme="minorBidi" w:hAnsiTheme="minorBidi"/>
          <w:sz w:val="28"/>
          <w:szCs w:val="28"/>
          <w:rtl/>
          <w:lang w:bidi="ar-EG"/>
        </w:rPr>
        <w:t xml:space="preserve">الإقليم </w:t>
      </w:r>
      <w:r w:rsidR="005E35BB" w:rsidRPr="0003289A">
        <w:rPr>
          <w:rFonts w:asciiTheme="minorBidi" w:hAnsiTheme="minorBidi"/>
          <w:sz w:val="28"/>
          <w:szCs w:val="28"/>
          <w:rtl/>
          <w:lang w:bidi="ar-EG"/>
        </w:rPr>
        <w:t>مجال</w:t>
      </w:r>
      <w:r w:rsidRPr="0003289A">
        <w:rPr>
          <w:rFonts w:asciiTheme="minorBidi" w:hAnsiTheme="minorBidi"/>
          <w:sz w:val="28"/>
          <w:szCs w:val="28"/>
          <w:rtl/>
          <w:lang w:bidi="ar-EG"/>
        </w:rPr>
        <w:t>ًا</w:t>
      </w:r>
      <w:r w:rsidR="005E35BB" w:rsidRPr="0003289A">
        <w:rPr>
          <w:rFonts w:asciiTheme="minorBidi" w:hAnsiTheme="minorBidi"/>
          <w:sz w:val="28"/>
          <w:szCs w:val="28"/>
          <w:rtl/>
          <w:lang w:bidi="ar-EG"/>
        </w:rPr>
        <w:t xml:space="preserve"> كبير</w:t>
      </w:r>
      <w:r w:rsidRPr="0003289A">
        <w:rPr>
          <w:rFonts w:asciiTheme="minorBidi" w:hAnsiTheme="minorBidi"/>
          <w:sz w:val="28"/>
          <w:szCs w:val="28"/>
          <w:rtl/>
          <w:lang w:bidi="ar-EG"/>
        </w:rPr>
        <w:t>ًا</w:t>
      </w:r>
      <w:r w:rsidR="005E35BB" w:rsidRPr="0003289A">
        <w:rPr>
          <w:rFonts w:asciiTheme="minorBidi" w:hAnsiTheme="minorBidi"/>
          <w:sz w:val="28"/>
          <w:szCs w:val="28"/>
          <w:rtl/>
          <w:lang w:bidi="ar-EG"/>
        </w:rPr>
        <w:t xml:space="preserve"> للمناورة في نشر السياسة المالية للتصدي </w:t>
      </w:r>
      <w:r w:rsidRPr="0003289A">
        <w:rPr>
          <w:rFonts w:asciiTheme="minorBidi" w:hAnsiTheme="minorBidi"/>
          <w:sz w:val="28"/>
          <w:szCs w:val="28"/>
          <w:rtl/>
          <w:lang w:bidi="ar-EG"/>
        </w:rPr>
        <w:t>لفيروس كورونا المستجد</w:t>
      </w:r>
      <w:r w:rsidR="005E35BB" w:rsidRPr="0003289A">
        <w:rPr>
          <w:rFonts w:asciiTheme="minorBidi" w:hAnsiTheme="minorBidi"/>
          <w:sz w:val="28"/>
          <w:szCs w:val="28"/>
          <w:rtl/>
          <w:lang w:bidi="ar-EG"/>
        </w:rPr>
        <w:t>، خاصة</w:t>
      </w:r>
      <w:r w:rsidRPr="0003289A">
        <w:rPr>
          <w:rFonts w:asciiTheme="minorBidi" w:hAnsiTheme="minorBidi"/>
          <w:sz w:val="28"/>
          <w:szCs w:val="28"/>
          <w:rtl/>
          <w:lang w:bidi="ar-EG"/>
        </w:rPr>
        <w:t>ً</w:t>
      </w:r>
      <w:r w:rsidR="005E35BB" w:rsidRPr="0003289A">
        <w:rPr>
          <w:rFonts w:asciiTheme="minorBidi" w:hAnsiTheme="minorBidi"/>
          <w:sz w:val="28"/>
          <w:szCs w:val="28"/>
          <w:rtl/>
          <w:lang w:bidi="ar-EG"/>
        </w:rPr>
        <w:t xml:space="preserve"> بالنظر إلى تأثير عمليات الإغلا</w:t>
      </w:r>
      <w:r w:rsidRPr="0003289A">
        <w:rPr>
          <w:rFonts w:asciiTheme="minorBidi" w:hAnsiTheme="minorBidi"/>
          <w:sz w:val="28"/>
          <w:szCs w:val="28"/>
          <w:rtl/>
          <w:lang w:bidi="ar-EG"/>
        </w:rPr>
        <w:t>ق على مصادر الإيرادات التقليدية</w:t>
      </w:r>
      <w:r w:rsidR="005E35BB" w:rsidRPr="0003289A">
        <w:rPr>
          <w:rFonts w:asciiTheme="minorBidi" w:hAnsiTheme="minorBidi"/>
          <w:sz w:val="28"/>
          <w:szCs w:val="28"/>
          <w:rtl/>
          <w:lang w:bidi="ar-EG"/>
        </w:rPr>
        <w:t xml:space="preserve"> في الوقت الذي لا يكون فيه الضغط من أ</w:t>
      </w:r>
      <w:r w:rsidRPr="0003289A">
        <w:rPr>
          <w:rFonts w:asciiTheme="minorBidi" w:hAnsiTheme="minorBidi"/>
          <w:sz w:val="28"/>
          <w:szCs w:val="28"/>
          <w:rtl/>
          <w:lang w:bidi="ar-EG"/>
        </w:rPr>
        <w:t xml:space="preserve">جل إنفاق وحماية الأرواح خيارًا حيث إن الدائنين قد يحتاجون </w:t>
      </w:r>
      <w:r w:rsidR="005E35BB" w:rsidRPr="0003289A">
        <w:rPr>
          <w:rFonts w:asciiTheme="minorBidi" w:hAnsiTheme="minorBidi"/>
          <w:sz w:val="28"/>
          <w:szCs w:val="28"/>
          <w:rtl/>
          <w:lang w:bidi="ar-EG"/>
        </w:rPr>
        <w:t>إلى النظ</w:t>
      </w:r>
      <w:r w:rsidR="00E37113" w:rsidRPr="0003289A">
        <w:rPr>
          <w:rFonts w:asciiTheme="minorBidi" w:hAnsiTheme="minorBidi"/>
          <w:sz w:val="28"/>
          <w:szCs w:val="28"/>
          <w:rtl/>
          <w:lang w:bidi="ar-EG"/>
        </w:rPr>
        <w:t xml:space="preserve">ر في المنح لدعم الفئات الضعيفة، وهي </w:t>
      </w:r>
      <w:r w:rsidR="005E35BB" w:rsidRPr="0003289A">
        <w:rPr>
          <w:rFonts w:asciiTheme="minorBidi" w:hAnsiTheme="minorBidi"/>
          <w:sz w:val="28"/>
          <w:szCs w:val="28"/>
          <w:rtl/>
          <w:lang w:bidi="ar-EG"/>
        </w:rPr>
        <w:t>النظم الصحية وسبل العيش والشركات المحلية.</w:t>
      </w:r>
    </w:p>
    <w:p w:rsidR="005E35BB" w:rsidRPr="0003289A" w:rsidRDefault="005E35BB"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إن الحاجة إلى قيام الدائنين بتنفيذ "تجميد الديون" الذي دعت إليه مجموعة البنك الدولي وصندوق ا</w:t>
      </w:r>
      <w:r w:rsidR="00E37113" w:rsidRPr="0003289A">
        <w:rPr>
          <w:rFonts w:asciiTheme="minorBidi" w:hAnsiTheme="minorBidi"/>
          <w:sz w:val="28"/>
          <w:szCs w:val="28"/>
          <w:rtl/>
          <w:lang w:bidi="ar-EG"/>
        </w:rPr>
        <w:t>لنقد الدولي والحكومات الأفريقية</w:t>
      </w:r>
      <w:r w:rsidRPr="0003289A">
        <w:rPr>
          <w:rFonts w:asciiTheme="minorBidi" w:hAnsiTheme="minorBidi"/>
          <w:sz w:val="28"/>
          <w:szCs w:val="28"/>
          <w:rtl/>
          <w:lang w:bidi="ar-EG"/>
        </w:rPr>
        <w:t xml:space="preserve"> ستك</w:t>
      </w:r>
      <w:r w:rsidR="00E37113" w:rsidRPr="0003289A">
        <w:rPr>
          <w:rFonts w:asciiTheme="minorBidi" w:hAnsiTheme="minorBidi"/>
          <w:sz w:val="28"/>
          <w:szCs w:val="28"/>
          <w:rtl/>
          <w:lang w:bidi="ar-EG"/>
        </w:rPr>
        <w:t>ون مهمة على المدى القصير الفوري</w:t>
      </w:r>
      <w:r w:rsidRPr="0003289A">
        <w:rPr>
          <w:rFonts w:asciiTheme="minorBidi" w:hAnsiTheme="minorBidi"/>
          <w:sz w:val="28"/>
          <w:szCs w:val="28"/>
          <w:rtl/>
          <w:lang w:bidi="ar-EG"/>
        </w:rPr>
        <w:t xml:space="preserve">، ولكن سيكون من الضروري اتباع نهج أكثر شمولية لتخفيف عبء الديون بعد </w:t>
      </w:r>
      <w:r w:rsidR="00E37113" w:rsidRPr="0003289A">
        <w:rPr>
          <w:rFonts w:asciiTheme="minorBidi" w:hAnsiTheme="minorBidi"/>
          <w:sz w:val="28"/>
          <w:szCs w:val="28"/>
          <w:rtl/>
          <w:lang w:bidi="ar-EG"/>
        </w:rPr>
        <w:t>وباء فيروس كورونا المستجد لتمكين</w:t>
      </w:r>
      <w:r w:rsidRPr="0003289A">
        <w:rPr>
          <w:rFonts w:asciiTheme="minorBidi" w:hAnsiTheme="minorBidi"/>
          <w:sz w:val="28"/>
          <w:szCs w:val="28"/>
          <w:rtl/>
          <w:lang w:bidi="ar-EG"/>
        </w:rPr>
        <w:t xml:space="preserve"> </w:t>
      </w:r>
      <w:r w:rsidR="00E37113" w:rsidRPr="0003289A">
        <w:rPr>
          <w:rFonts w:asciiTheme="minorBidi" w:hAnsiTheme="minorBidi"/>
          <w:sz w:val="28"/>
          <w:szCs w:val="28"/>
          <w:rtl/>
          <w:lang w:bidi="ar-EG"/>
        </w:rPr>
        <w:t xml:space="preserve">معظم الاقتصادات في الإقليم من التعافي الكامل </w:t>
      </w:r>
      <w:r w:rsidRPr="0003289A">
        <w:rPr>
          <w:rFonts w:asciiTheme="minorBidi" w:hAnsiTheme="minorBidi"/>
          <w:sz w:val="28"/>
          <w:szCs w:val="28"/>
          <w:rtl/>
          <w:lang w:bidi="ar-EG"/>
        </w:rPr>
        <w:t xml:space="preserve">من آثار هذا الوباء. </w:t>
      </w:r>
      <w:r w:rsidR="00E37113" w:rsidRPr="0003289A">
        <w:rPr>
          <w:rFonts w:asciiTheme="minorBidi" w:hAnsiTheme="minorBidi"/>
          <w:sz w:val="28"/>
          <w:szCs w:val="28"/>
          <w:rtl/>
          <w:lang w:bidi="ar-EG"/>
        </w:rPr>
        <w:t xml:space="preserve">وتتمحور </w:t>
      </w:r>
      <w:r w:rsidRPr="0003289A">
        <w:rPr>
          <w:rFonts w:asciiTheme="minorBidi" w:hAnsiTheme="minorBidi"/>
          <w:sz w:val="28"/>
          <w:szCs w:val="28"/>
          <w:rtl/>
          <w:lang w:bidi="ar-EG"/>
        </w:rPr>
        <w:t xml:space="preserve">المخاوف من أن الوصول إلى حزمة الإغاثة الثنائية سيؤدي إلى خفض التصنيف الائتماني وتقويض الوصول </w:t>
      </w:r>
      <w:r w:rsidR="00E37113" w:rsidRPr="0003289A">
        <w:rPr>
          <w:rFonts w:asciiTheme="minorBidi" w:hAnsiTheme="minorBidi"/>
          <w:sz w:val="28"/>
          <w:szCs w:val="28"/>
          <w:rtl/>
          <w:lang w:bidi="ar-EG"/>
        </w:rPr>
        <w:t>في المستقبل إلى أسواق رأس المال،</w:t>
      </w:r>
      <w:r w:rsidRPr="0003289A">
        <w:rPr>
          <w:rFonts w:asciiTheme="minorBidi" w:hAnsiTheme="minorBidi"/>
          <w:sz w:val="28"/>
          <w:szCs w:val="28"/>
          <w:rtl/>
          <w:lang w:bidi="ar-EG"/>
        </w:rPr>
        <w:t xml:space="preserve"> وسيتعين معالجة المخاوف المتعلقة بالتزامات الديون التجارية.</w:t>
      </w:r>
    </w:p>
    <w:p w:rsidR="005E35BB" w:rsidRPr="0003289A" w:rsidRDefault="005E35BB" w:rsidP="0003289A">
      <w:pPr>
        <w:bidi/>
        <w:spacing w:after="0" w:line="360" w:lineRule="auto"/>
        <w:jc w:val="both"/>
        <w:rPr>
          <w:rFonts w:asciiTheme="minorBidi" w:hAnsiTheme="minorBidi"/>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6" w:name="_Toc82709013"/>
      <w:r w:rsidRPr="0003289A">
        <w:rPr>
          <w:rFonts w:asciiTheme="minorBidi" w:hAnsiTheme="minorBidi" w:cstheme="minorBidi"/>
          <w:rtl/>
        </w:rPr>
        <w:t>الحساب الجاري الخارجي شاملًا المنح</w:t>
      </w:r>
      <w:bookmarkEnd w:id="6"/>
    </w:p>
    <w:p w:rsidR="005E35BB" w:rsidRPr="0003289A" w:rsidRDefault="005E35BB"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تدهور عجز الحساب الجاري الخارجي </w:t>
      </w:r>
      <w:r w:rsidR="00E37113" w:rsidRPr="0003289A">
        <w:rPr>
          <w:rFonts w:asciiTheme="minorBidi" w:hAnsiTheme="minorBidi"/>
          <w:sz w:val="28"/>
          <w:szCs w:val="28"/>
          <w:rtl/>
          <w:lang w:bidi="ar-EG"/>
        </w:rPr>
        <w:t>لإقليم الكوميسا شاملًا المنح</w:t>
      </w:r>
      <w:r w:rsidRPr="0003289A">
        <w:rPr>
          <w:rFonts w:asciiTheme="minorBidi" w:hAnsiTheme="minorBidi"/>
          <w:sz w:val="28"/>
          <w:szCs w:val="28"/>
          <w:rtl/>
          <w:lang w:bidi="ar-EG"/>
        </w:rPr>
        <w:t xml:space="preserve"> كنسبة مئوية من </w:t>
      </w:r>
      <w:r w:rsidR="00E37113" w:rsidRPr="0003289A">
        <w:rPr>
          <w:rFonts w:asciiTheme="minorBidi" w:hAnsiTheme="minorBidi"/>
          <w:sz w:val="28"/>
          <w:szCs w:val="28"/>
          <w:rtl/>
          <w:lang w:bidi="ar-EG"/>
        </w:rPr>
        <w:t xml:space="preserve">إجمالي الناتج المحلي بمقدار 0.2% </w:t>
      </w:r>
      <w:r w:rsidRPr="0003289A">
        <w:rPr>
          <w:rFonts w:asciiTheme="minorBidi" w:hAnsiTheme="minorBidi"/>
          <w:sz w:val="28"/>
          <w:szCs w:val="28"/>
          <w:rtl/>
          <w:lang w:bidi="ar-EG"/>
        </w:rPr>
        <w:t xml:space="preserve">إلى متوسط ​​-4.9 </w:t>
      </w:r>
      <w:r w:rsidR="006E0282" w:rsidRPr="0003289A">
        <w:rPr>
          <w:rFonts w:asciiTheme="minorBidi" w:hAnsiTheme="minorBidi"/>
          <w:sz w:val="28"/>
          <w:szCs w:val="28"/>
          <w:rtl/>
          <w:lang w:bidi="ar-EG"/>
        </w:rPr>
        <w:t>%</w:t>
      </w:r>
      <w:r w:rsidRPr="0003289A">
        <w:rPr>
          <w:rFonts w:asciiTheme="minorBidi" w:hAnsiTheme="minorBidi"/>
          <w:sz w:val="28"/>
          <w:szCs w:val="28"/>
          <w:rtl/>
          <w:lang w:bidi="ar-EG"/>
        </w:rPr>
        <w:t xml:space="preserve"> في عام 2020 مقارنة بعام 2019. </w:t>
      </w:r>
      <w:r w:rsidR="00E37113" w:rsidRPr="0003289A">
        <w:rPr>
          <w:rFonts w:asciiTheme="minorBidi" w:hAnsiTheme="minorBidi"/>
          <w:sz w:val="28"/>
          <w:szCs w:val="28"/>
          <w:rtl/>
          <w:lang w:bidi="ar-EG"/>
        </w:rPr>
        <w:t xml:space="preserve">ويعزى </w:t>
      </w:r>
      <w:r w:rsidRPr="0003289A">
        <w:rPr>
          <w:rFonts w:asciiTheme="minorBidi" w:hAnsiTheme="minorBidi"/>
          <w:sz w:val="28"/>
          <w:szCs w:val="28"/>
          <w:rtl/>
          <w:lang w:bidi="ar-EG"/>
        </w:rPr>
        <w:t xml:space="preserve">التدهور في عجز الحساب الجاري الخارجي لمعظم اقتصادات </w:t>
      </w:r>
      <w:r w:rsidR="00E37113" w:rsidRPr="0003289A">
        <w:rPr>
          <w:rFonts w:asciiTheme="minorBidi" w:hAnsiTheme="minorBidi"/>
          <w:sz w:val="28"/>
          <w:szCs w:val="28"/>
          <w:rtl/>
          <w:lang w:bidi="ar-EG"/>
        </w:rPr>
        <w:t xml:space="preserve">الإقليم إلى </w:t>
      </w:r>
      <w:r w:rsidRPr="0003289A">
        <w:rPr>
          <w:rFonts w:asciiTheme="minorBidi" w:hAnsiTheme="minorBidi"/>
          <w:sz w:val="28"/>
          <w:szCs w:val="28"/>
          <w:rtl/>
          <w:lang w:bidi="ar-EG"/>
        </w:rPr>
        <w:t xml:space="preserve">الاختلالات التجارية المستمرة المعتادة بسبب مزيج من انخفاض الطلب على الصادرات وفواتير الاستيراد غير المرنة نسبيًا، وفي بعض الحالات التأخر في صرف تدفقات المعونة الخارجية التي تواجهها معظم </w:t>
      </w:r>
      <w:r w:rsidR="00E37113"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في </w:t>
      </w:r>
      <w:r w:rsidR="00E37113" w:rsidRPr="0003289A">
        <w:rPr>
          <w:rFonts w:asciiTheme="minorBidi" w:hAnsiTheme="minorBidi"/>
          <w:sz w:val="28"/>
          <w:szCs w:val="28"/>
          <w:rtl/>
          <w:lang w:bidi="ar-EG"/>
        </w:rPr>
        <w:t xml:space="preserve">إقليم </w:t>
      </w:r>
      <w:r w:rsidRPr="0003289A">
        <w:rPr>
          <w:rFonts w:asciiTheme="minorBidi" w:hAnsiTheme="minorBidi"/>
          <w:sz w:val="28"/>
          <w:szCs w:val="28"/>
          <w:rtl/>
          <w:lang w:bidi="ar-EG"/>
        </w:rPr>
        <w:t xml:space="preserve">الكوميسا. </w:t>
      </w:r>
      <w:r w:rsidR="00E37113" w:rsidRPr="0003289A">
        <w:rPr>
          <w:rFonts w:asciiTheme="minorBidi" w:hAnsiTheme="minorBidi"/>
          <w:sz w:val="28"/>
          <w:szCs w:val="28"/>
          <w:rtl/>
          <w:lang w:bidi="ar-EG"/>
        </w:rPr>
        <w:t>و</w:t>
      </w:r>
      <w:r w:rsidRPr="0003289A">
        <w:rPr>
          <w:rFonts w:asciiTheme="minorBidi" w:hAnsiTheme="minorBidi"/>
          <w:sz w:val="28"/>
          <w:szCs w:val="28"/>
          <w:rtl/>
          <w:lang w:bidi="ar-EG"/>
        </w:rPr>
        <w:t xml:space="preserve">تعود حصيلة العام قيد المراجعة في المقام الأول إلى آثار </w:t>
      </w:r>
      <w:r w:rsidR="00E37113"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وقد أثرت الاضطرابات في التجارة </w:t>
      </w:r>
      <w:r w:rsidRPr="0003289A">
        <w:rPr>
          <w:rFonts w:asciiTheme="minorBidi" w:hAnsiTheme="minorBidi"/>
          <w:sz w:val="28"/>
          <w:szCs w:val="28"/>
          <w:rtl/>
          <w:lang w:bidi="ar-EG"/>
        </w:rPr>
        <w:lastRenderedPageBreak/>
        <w:t>المحلية والإقليمية وسلاسل ا</w:t>
      </w:r>
      <w:r w:rsidR="00E37113" w:rsidRPr="0003289A">
        <w:rPr>
          <w:rFonts w:asciiTheme="minorBidi" w:hAnsiTheme="minorBidi"/>
          <w:sz w:val="28"/>
          <w:szCs w:val="28"/>
          <w:rtl/>
          <w:lang w:bidi="ar-EG"/>
        </w:rPr>
        <w:t>لقيمة الناجمة عن عمليات الإغلاق</w:t>
      </w:r>
      <w:r w:rsidRPr="0003289A">
        <w:rPr>
          <w:rFonts w:asciiTheme="minorBidi" w:hAnsiTheme="minorBidi"/>
          <w:sz w:val="28"/>
          <w:szCs w:val="28"/>
          <w:rtl/>
          <w:lang w:bidi="ar-EG"/>
        </w:rPr>
        <w:t xml:space="preserve"> إلى جانب الاضطرابات المماثلة على المستوى العالمي </w:t>
      </w:r>
      <w:r w:rsidR="00E37113" w:rsidRPr="0003289A">
        <w:rPr>
          <w:rFonts w:asciiTheme="minorBidi" w:hAnsiTheme="minorBidi"/>
          <w:sz w:val="28"/>
          <w:szCs w:val="28"/>
          <w:rtl/>
          <w:lang w:bidi="ar-EG"/>
        </w:rPr>
        <w:t xml:space="preserve">تأثيرًا شديدًا </w:t>
      </w:r>
      <w:r w:rsidRPr="0003289A">
        <w:rPr>
          <w:rFonts w:asciiTheme="minorBidi" w:hAnsiTheme="minorBidi"/>
          <w:sz w:val="28"/>
          <w:szCs w:val="28"/>
          <w:rtl/>
          <w:lang w:bidi="ar-EG"/>
        </w:rPr>
        <w:t xml:space="preserve">على التجارة في معظم </w:t>
      </w:r>
      <w:r w:rsidR="00E37113" w:rsidRPr="0003289A">
        <w:rPr>
          <w:rFonts w:asciiTheme="minorBidi" w:hAnsiTheme="minorBidi"/>
          <w:sz w:val="28"/>
          <w:szCs w:val="28"/>
          <w:rtl/>
          <w:lang w:bidi="ar-EG"/>
        </w:rPr>
        <w:t>الدول</w:t>
      </w:r>
      <w:r w:rsidRPr="0003289A">
        <w:rPr>
          <w:rFonts w:asciiTheme="minorBidi" w:hAnsiTheme="minorBidi"/>
          <w:sz w:val="28"/>
          <w:szCs w:val="28"/>
          <w:rtl/>
          <w:lang w:bidi="ar-EG"/>
        </w:rPr>
        <w:t>.</w:t>
      </w:r>
    </w:p>
    <w:p w:rsidR="005E35BB" w:rsidRPr="0003289A" w:rsidRDefault="00E37113" w:rsidP="0003289A">
      <w:p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من المتوقع أن يتحسن الحساب الجاري الخارجي </w:t>
      </w:r>
      <w:r w:rsidRPr="0003289A">
        <w:rPr>
          <w:rFonts w:asciiTheme="minorBidi" w:hAnsiTheme="minorBidi"/>
          <w:sz w:val="28"/>
          <w:szCs w:val="28"/>
          <w:rtl/>
          <w:lang w:bidi="ar-EG"/>
        </w:rPr>
        <w:t xml:space="preserve">شاملًا </w:t>
      </w:r>
      <w:r w:rsidR="005E35BB" w:rsidRPr="0003289A">
        <w:rPr>
          <w:rFonts w:asciiTheme="minorBidi" w:hAnsiTheme="minorBidi"/>
          <w:sz w:val="28"/>
          <w:szCs w:val="28"/>
          <w:rtl/>
          <w:lang w:bidi="ar-EG"/>
        </w:rPr>
        <w:t>المنح إلى -4.5</w:t>
      </w:r>
      <w:r w:rsidR="006E0282" w:rsidRPr="0003289A">
        <w:rPr>
          <w:rFonts w:asciiTheme="minorBidi" w:hAnsiTheme="minorBidi"/>
          <w:sz w:val="28"/>
          <w:szCs w:val="28"/>
          <w:rtl/>
          <w:lang w:bidi="ar-EG"/>
        </w:rPr>
        <w:t>%</w:t>
      </w:r>
      <w:r w:rsidR="005E35BB" w:rsidRPr="0003289A">
        <w:rPr>
          <w:rFonts w:asciiTheme="minorBidi" w:hAnsiTheme="minorBidi"/>
          <w:sz w:val="28"/>
          <w:szCs w:val="28"/>
          <w:rtl/>
          <w:lang w:bidi="ar-EG"/>
        </w:rPr>
        <w:t xml:space="preserve"> من </w:t>
      </w:r>
      <w:r w:rsidRPr="0003289A">
        <w:rPr>
          <w:rFonts w:asciiTheme="minorBidi" w:hAnsiTheme="minorBidi"/>
          <w:sz w:val="28"/>
          <w:szCs w:val="28"/>
          <w:rtl/>
          <w:lang w:bidi="ar-EG"/>
        </w:rPr>
        <w:t xml:space="preserve">إجمالي </w:t>
      </w:r>
      <w:r w:rsidR="005E35BB" w:rsidRPr="0003289A">
        <w:rPr>
          <w:rFonts w:asciiTheme="minorBidi" w:hAnsiTheme="minorBidi"/>
          <w:sz w:val="28"/>
          <w:szCs w:val="28"/>
          <w:rtl/>
          <w:lang w:bidi="ar-EG"/>
        </w:rPr>
        <w:t>الناتج المحلي في عام 2021 ثم إلى -4.3</w:t>
      </w:r>
      <w:r w:rsidR="006E0282" w:rsidRPr="0003289A">
        <w:rPr>
          <w:rFonts w:asciiTheme="minorBidi" w:hAnsiTheme="minorBidi"/>
          <w:sz w:val="28"/>
          <w:szCs w:val="28"/>
          <w:rtl/>
          <w:lang w:bidi="ar-EG"/>
        </w:rPr>
        <w:t>%</w:t>
      </w:r>
      <w:r w:rsidR="005E35BB" w:rsidRPr="0003289A">
        <w:rPr>
          <w:rFonts w:asciiTheme="minorBidi" w:hAnsiTheme="minorBidi"/>
          <w:sz w:val="28"/>
          <w:szCs w:val="28"/>
          <w:rtl/>
          <w:lang w:bidi="ar-EG"/>
        </w:rPr>
        <w:t xml:space="preserve"> من إجمالي الناتج المحلي في عام 2022 </w:t>
      </w:r>
      <w:r w:rsidR="005E35BB" w:rsidRPr="0003289A">
        <w:rPr>
          <w:rFonts w:asciiTheme="minorBidi" w:hAnsiTheme="minorBidi"/>
          <w:b/>
          <w:bCs/>
          <w:sz w:val="28"/>
          <w:szCs w:val="28"/>
          <w:rtl/>
          <w:lang w:bidi="ar-EG"/>
        </w:rPr>
        <w:t>(الشكل 5)</w:t>
      </w:r>
      <w:r w:rsidRPr="0003289A">
        <w:rPr>
          <w:rFonts w:asciiTheme="minorBidi" w:hAnsiTheme="minorBidi"/>
          <w:sz w:val="28"/>
          <w:szCs w:val="28"/>
          <w:rtl/>
          <w:lang w:bidi="ar-EG"/>
        </w:rPr>
        <w:t xml:space="preserve"> حيث </w:t>
      </w:r>
      <w:r w:rsidR="005E35BB" w:rsidRPr="0003289A">
        <w:rPr>
          <w:rFonts w:asciiTheme="minorBidi" w:hAnsiTheme="minorBidi"/>
          <w:sz w:val="28"/>
          <w:szCs w:val="28"/>
          <w:rtl/>
          <w:lang w:bidi="ar-EG"/>
        </w:rPr>
        <w:t>يرتكز هذا التحسن على الزيادات في الصادرات مع ار</w:t>
      </w:r>
      <w:r w:rsidRPr="0003289A">
        <w:rPr>
          <w:rFonts w:asciiTheme="minorBidi" w:hAnsiTheme="minorBidi"/>
          <w:sz w:val="28"/>
          <w:szCs w:val="28"/>
          <w:rtl/>
          <w:lang w:bidi="ar-EG"/>
        </w:rPr>
        <w:t>تفاع الطلب في جميع أنحاء العالم</w:t>
      </w:r>
      <w:r w:rsidR="005E35BB" w:rsidRPr="0003289A">
        <w:rPr>
          <w:rFonts w:asciiTheme="minorBidi" w:hAnsiTheme="minorBidi"/>
          <w:sz w:val="28"/>
          <w:szCs w:val="28"/>
          <w:rtl/>
          <w:lang w:bidi="ar-EG"/>
        </w:rPr>
        <w:t xml:space="preserve"> وارتفاع أسعار السلع التصديرية لمصدري السلع الأساسية </w:t>
      </w:r>
      <w:r w:rsidRPr="0003289A">
        <w:rPr>
          <w:rFonts w:asciiTheme="minorBidi" w:hAnsiTheme="minorBidi"/>
          <w:sz w:val="28"/>
          <w:szCs w:val="28"/>
          <w:rtl/>
          <w:lang w:bidi="ar-EG"/>
        </w:rPr>
        <w:t>واستئناف تدفقات رأس المال</w:t>
      </w:r>
      <w:r w:rsidR="005E35BB" w:rsidRPr="0003289A">
        <w:rPr>
          <w:rFonts w:asciiTheme="minorBidi" w:hAnsiTheme="minorBidi"/>
          <w:sz w:val="28"/>
          <w:szCs w:val="28"/>
          <w:rtl/>
          <w:lang w:bidi="ar-EG"/>
        </w:rPr>
        <w:t xml:space="preserve"> لا سيما انتعاش التحويلات.</w:t>
      </w:r>
    </w:p>
    <w:p w:rsidR="00521B61" w:rsidRPr="0003289A" w:rsidRDefault="00E37113"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ومن الآن فصاعدًا</w:t>
      </w:r>
      <w:r w:rsidR="005E35BB" w:rsidRPr="0003289A">
        <w:rPr>
          <w:rFonts w:asciiTheme="minorBidi" w:hAnsiTheme="minorBidi"/>
          <w:sz w:val="28"/>
          <w:szCs w:val="28"/>
          <w:rtl/>
          <w:lang w:bidi="ar-EG"/>
        </w:rPr>
        <w:t xml:space="preserve">، من المرجح أن تعيد أزمة </w:t>
      </w:r>
      <w:r w:rsidRPr="0003289A">
        <w:rPr>
          <w:rFonts w:asciiTheme="minorBidi" w:hAnsiTheme="minorBidi"/>
          <w:sz w:val="28"/>
          <w:szCs w:val="28"/>
          <w:rtl/>
          <w:lang w:bidi="ar-EG"/>
        </w:rPr>
        <w:t>فيروس كورونا المستجد تشكيل سلاسل القيمة العالمية</w:t>
      </w:r>
      <w:r w:rsidR="005E35BB" w:rsidRPr="0003289A">
        <w:rPr>
          <w:rFonts w:asciiTheme="minorBidi" w:hAnsiTheme="minorBidi"/>
          <w:sz w:val="28"/>
          <w:szCs w:val="28"/>
          <w:rtl/>
          <w:lang w:bidi="ar-EG"/>
        </w:rPr>
        <w:t xml:space="preserve"> مما يجلب تحديات ولكن أيضًا فرصًا </w:t>
      </w:r>
      <w:r w:rsidRPr="0003289A">
        <w:rPr>
          <w:rFonts w:asciiTheme="minorBidi" w:hAnsiTheme="minorBidi"/>
          <w:sz w:val="28"/>
          <w:szCs w:val="28"/>
          <w:rtl/>
          <w:lang w:bidi="ar-EG"/>
        </w:rPr>
        <w:t xml:space="preserve">لإقليم </w:t>
      </w:r>
      <w:r w:rsidR="005E35BB" w:rsidRPr="0003289A">
        <w:rPr>
          <w:rFonts w:asciiTheme="minorBidi" w:hAnsiTheme="minorBidi"/>
          <w:sz w:val="28"/>
          <w:szCs w:val="28"/>
          <w:rtl/>
          <w:lang w:bidi="ar-EG"/>
        </w:rPr>
        <w:t xml:space="preserve">الكوميسا وأفريقيا عمومًا. </w:t>
      </w:r>
      <w:r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يجب أن يكون تعزيز سلاسل القيمة القارية أولوية بالنظر إلى بيئة الأعمال العالمية غير المؤكدة. </w:t>
      </w:r>
      <w:r w:rsidR="002635B3"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مع تقدم القطاع الخاص في </w:t>
      </w:r>
      <w:r w:rsidR="002635B3" w:rsidRPr="0003289A">
        <w:rPr>
          <w:rFonts w:asciiTheme="minorBidi" w:hAnsiTheme="minorBidi"/>
          <w:sz w:val="28"/>
          <w:szCs w:val="28"/>
          <w:rtl/>
          <w:lang w:bidi="ar-EG"/>
        </w:rPr>
        <w:t>التحول الرقمي</w:t>
      </w:r>
      <w:r w:rsidR="005E35BB" w:rsidRPr="0003289A">
        <w:rPr>
          <w:rFonts w:asciiTheme="minorBidi" w:hAnsiTheme="minorBidi"/>
          <w:sz w:val="28"/>
          <w:szCs w:val="28"/>
          <w:rtl/>
          <w:lang w:bidi="ar-EG"/>
        </w:rPr>
        <w:t>، من المهم للقارة أن تستثمر في تعزيز ال</w:t>
      </w:r>
      <w:r w:rsidR="002635B3" w:rsidRPr="0003289A">
        <w:rPr>
          <w:rFonts w:asciiTheme="minorBidi" w:hAnsiTheme="minorBidi"/>
          <w:sz w:val="28"/>
          <w:szCs w:val="28"/>
          <w:rtl/>
          <w:lang w:bidi="ar-EG"/>
        </w:rPr>
        <w:t>بنية التحتية الأساسية للاتصالات</w:t>
      </w:r>
      <w:r w:rsidR="005E35BB" w:rsidRPr="0003289A">
        <w:rPr>
          <w:rFonts w:asciiTheme="minorBidi" w:hAnsiTheme="minorBidi"/>
          <w:sz w:val="28"/>
          <w:szCs w:val="28"/>
          <w:rtl/>
          <w:lang w:bidi="ar-EG"/>
        </w:rPr>
        <w:t xml:space="preserve"> بما في ذلك الأليا</w:t>
      </w:r>
      <w:r w:rsidR="002635B3" w:rsidRPr="0003289A">
        <w:rPr>
          <w:rFonts w:asciiTheme="minorBidi" w:hAnsiTheme="minorBidi"/>
          <w:sz w:val="28"/>
          <w:szCs w:val="28"/>
          <w:rtl/>
          <w:lang w:bidi="ar-EG"/>
        </w:rPr>
        <w:t>ف الضوئية والإنترنت عالي السرعة</w:t>
      </w:r>
      <w:r w:rsidR="005E35BB" w:rsidRPr="0003289A">
        <w:rPr>
          <w:rFonts w:asciiTheme="minorBidi" w:hAnsiTheme="minorBidi"/>
          <w:sz w:val="28"/>
          <w:szCs w:val="28"/>
          <w:rtl/>
          <w:lang w:bidi="ar-EG"/>
        </w:rPr>
        <w:t xml:space="preserve">، وكذلك لإكمال جدول الأعمال التنظيمي (التجارة الإلكترونية) للتحول الرقمي. </w:t>
      </w:r>
      <w:r w:rsidR="002635B3"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سيكون هذا ضروريًا لظهور سلاسل القيمة للقرن الحادي والعشرين في </w:t>
      </w:r>
      <w:r w:rsidR="002635B3" w:rsidRPr="0003289A">
        <w:rPr>
          <w:rFonts w:asciiTheme="minorBidi" w:hAnsiTheme="minorBidi"/>
          <w:sz w:val="28"/>
          <w:szCs w:val="28"/>
          <w:rtl/>
          <w:lang w:bidi="ar-EG"/>
        </w:rPr>
        <w:t>الإقليم وتوسيعها</w:t>
      </w:r>
      <w:r w:rsidR="005E35BB" w:rsidRPr="0003289A">
        <w:rPr>
          <w:rFonts w:asciiTheme="minorBidi" w:hAnsiTheme="minorBidi"/>
          <w:sz w:val="28"/>
          <w:szCs w:val="28"/>
          <w:rtl/>
          <w:lang w:bidi="ar-EG"/>
        </w:rPr>
        <w:t xml:space="preserve">. </w:t>
      </w:r>
      <w:r w:rsidR="002635B3" w:rsidRPr="0003289A">
        <w:rPr>
          <w:rFonts w:asciiTheme="minorBidi" w:hAnsiTheme="minorBidi"/>
          <w:sz w:val="28"/>
          <w:szCs w:val="28"/>
          <w:rtl/>
          <w:lang w:bidi="ar-EG"/>
        </w:rPr>
        <w:t>و</w:t>
      </w:r>
      <w:r w:rsidR="005E35BB" w:rsidRPr="0003289A">
        <w:rPr>
          <w:rFonts w:asciiTheme="minorBidi" w:hAnsiTheme="minorBidi"/>
          <w:sz w:val="28"/>
          <w:szCs w:val="28"/>
          <w:rtl/>
          <w:lang w:bidi="ar-EG"/>
        </w:rPr>
        <w:t xml:space="preserve">على المدى المتوسط ​​والطويل، سيكون التنفيذ الفعال لجدول أعمال التكامل الإقليمي </w:t>
      </w:r>
      <w:r w:rsidR="002635B3" w:rsidRPr="0003289A">
        <w:rPr>
          <w:rFonts w:asciiTheme="minorBidi" w:hAnsiTheme="minorBidi"/>
          <w:sz w:val="28"/>
          <w:szCs w:val="28"/>
          <w:rtl/>
          <w:lang w:bidi="ar-EG"/>
        </w:rPr>
        <w:t xml:space="preserve">للجماعات </w:t>
      </w:r>
      <w:r w:rsidR="005E35BB" w:rsidRPr="0003289A">
        <w:rPr>
          <w:rFonts w:asciiTheme="minorBidi" w:hAnsiTheme="minorBidi"/>
          <w:sz w:val="28"/>
          <w:szCs w:val="28"/>
          <w:rtl/>
          <w:lang w:bidi="ar-EG"/>
        </w:rPr>
        <w:t xml:space="preserve">الاقتصادية الإقليمية ومنطقة التجارة الحرة </w:t>
      </w:r>
      <w:r w:rsidR="002635B3" w:rsidRPr="0003289A">
        <w:rPr>
          <w:rFonts w:asciiTheme="minorBidi" w:hAnsiTheme="minorBidi"/>
          <w:sz w:val="28"/>
          <w:szCs w:val="28"/>
          <w:rtl/>
          <w:lang w:bidi="ar-EG"/>
        </w:rPr>
        <w:t xml:space="preserve">لقارة أفريقيا </w:t>
      </w:r>
      <w:r w:rsidR="005E35BB" w:rsidRPr="0003289A">
        <w:rPr>
          <w:rFonts w:asciiTheme="minorBidi" w:hAnsiTheme="minorBidi"/>
          <w:sz w:val="28"/>
          <w:szCs w:val="28"/>
          <w:rtl/>
          <w:lang w:bidi="ar-EG"/>
        </w:rPr>
        <w:t>مفتاحًا لتعزيز ش</w:t>
      </w:r>
      <w:r w:rsidR="002635B3" w:rsidRPr="0003289A">
        <w:rPr>
          <w:rFonts w:asciiTheme="minorBidi" w:hAnsiTheme="minorBidi"/>
          <w:sz w:val="28"/>
          <w:szCs w:val="28"/>
          <w:rtl/>
          <w:lang w:bidi="ar-EG"/>
        </w:rPr>
        <w:t>بكات الإنتاج والتجارة الإقليمية</w:t>
      </w:r>
      <w:r w:rsidR="005E35BB" w:rsidRPr="0003289A">
        <w:rPr>
          <w:rFonts w:asciiTheme="minorBidi" w:hAnsiTheme="minorBidi"/>
          <w:sz w:val="28"/>
          <w:szCs w:val="28"/>
          <w:rtl/>
          <w:lang w:bidi="ar-EG"/>
        </w:rPr>
        <w:t xml:space="preserve"> والحد من تعرض القارة للص</w:t>
      </w:r>
      <w:r w:rsidR="002635B3" w:rsidRPr="0003289A">
        <w:rPr>
          <w:rFonts w:asciiTheme="minorBidi" w:hAnsiTheme="minorBidi"/>
          <w:sz w:val="28"/>
          <w:szCs w:val="28"/>
          <w:rtl/>
          <w:lang w:bidi="ar-EG"/>
        </w:rPr>
        <w:t>دمات الخارجية</w:t>
      </w:r>
      <w:r w:rsidR="005E35BB" w:rsidRPr="0003289A">
        <w:rPr>
          <w:rFonts w:asciiTheme="minorBidi" w:hAnsiTheme="minorBidi"/>
          <w:sz w:val="28"/>
          <w:szCs w:val="28"/>
          <w:rtl/>
          <w:lang w:bidi="ar-EG"/>
        </w:rPr>
        <w:t xml:space="preserve">، وبالتالي سيؤدي إلى تحسين </w:t>
      </w:r>
      <w:r w:rsidR="002635B3" w:rsidRPr="0003289A">
        <w:rPr>
          <w:rFonts w:asciiTheme="minorBidi" w:hAnsiTheme="minorBidi"/>
          <w:sz w:val="28"/>
          <w:szCs w:val="28"/>
          <w:rtl/>
          <w:lang w:bidi="ar-EG"/>
        </w:rPr>
        <w:t xml:space="preserve">أرصدة </w:t>
      </w:r>
      <w:r w:rsidR="005E35BB" w:rsidRPr="0003289A">
        <w:rPr>
          <w:rFonts w:asciiTheme="minorBidi" w:hAnsiTheme="minorBidi"/>
          <w:sz w:val="28"/>
          <w:szCs w:val="28"/>
          <w:rtl/>
          <w:lang w:bidi="ar-EG"/>
        </w:rPr>
        <w:t>الحساب الجاري الخارجي.</w:t>
      </w:r>
    </w:p>
    <w:p w:rsidR="005E35BB" w:rsidRPr="0003289A" w:rsidRDefault="005E35BB" w:rsidP="0003289A">
      <w:pPr>
        <w:bidi/>
        <w:spacing w:after="0" w:line="360" w:lineRule="auto"/>
        <w:jc w:val="both"/>
        <w:rPr>
          <w:rFonts w:asciiTheme="minorBidi" w:hAnsiTheme="minorBidi"/>
          <w:sz w:val="28"/>
          <w:szCs w:val="28"/>
          <w:rtl/>
          <w:lang w:bidi="ar-EG"/>
        </w:rPr>
      </w:pPr>
    </w:p>
    <w:p w:rsidR="005E35BB" w:rsidRPr="0003289A" w:rsidRDefault="005E35BB"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 xml:space="preserve">الشكل 5: </w:t>
      </w:r>
      <w:r w:rsidR="007175A5" w:rsidRPr="0003289A">
        <w:rPr>
          <w:rFonts w:asciiTheme="minorBidi" w:hAnsiTheme="minorBidi"/>
          <w:b/>
          <w:bCs/>
          <w:sz w:val="28"/>
          <w:szCs w:val="28"/>
          <w:rtl/>
          <w:lang w:bidi="ar-EG"/>
        </w:rPr>
        <w:t>متوسط الحسابات الجارية الخارجية للكوميسا (شاملة المنح، النسبة من إجمالي الناتج المحلي)</w:t>
      </w:r>
    </w:p>
    <w:p w:rsidR="007175A5" w:rsidRPr="0003289A" w:rsidRDefault="007175A5" w:rsidP="0003289A">
      <w:pPr>
        <w:bidi/>
        <w:spacing w:after="0" w:line="360" w:lineRule="auto"/>
        <w:jc w:val="center"/>
        <w:rPr>
          <w:rFonts w:asciiTheme="minorBidi" w:hAnsiTheme="minorBidi"/>
          <w:b/>
          <w:bCs/>
          <w:sz w:val="28"/>
          <w:szCs w:val="28"/>
          <w:rtl/>
          <w:lang w:bidi="ar-EG"/>
        </w:rPr>
      </w:pPr>
      <w:r w:rsidRPr="0003289A">
        <w:rPr>
          <w:rFonts w:asciiTheme="minorBidi" w:hAnsiTheme="minorBidi"/>
          <w:noProof/>
        </w:rPr>
        <w:drawing>
          <wp:inline distT="0" distB="0" distL="0" distR="0" wp14:anchorId="0E31D295" wp14:editId="2868465E">
            <wp:extent cx="5471160" cy="2423160"/>
            <wp:effectExtent l="0" t="0" r="1524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75A5" w:rsidRPr="0003289A" w:rsidRDefault="007175A5" w:rsidP="0003289A">
      <w:pPr>
        <w:bidi/>
        <w:spacing w:after="0" w:line="360" w:lineRule="auto"/>
        <w:jc w:val="both"/>
        <w:rPr>
          <w:rFonts w:asciiTheme="minorBidi" w:hAnsiTheme="minorBidi"/>
          <w:b/>
          <w:bCs/>
          <w:sz w:val="28"/>
          <w:szCs w:val="28"/>
          <w:rtl/>
          <w:lang w:bidi="ar-EG"/>
        </w:rPr>
      </w:pPr>
      <w:r w:rsidRPr="0003289A">
        <w:rPr>
          <w:rFonts w:asciiTheme="minorBidi" w:hAnsiTheme="minorBidi"/>
          <w:b/>
          <w:bCs/>
          <w:sz w:val="28"/>
          <w:szCs w:val="28"/>
          <w:rtl/>
          <w:lang w:bidi="ar-EG"/>
        </w:rPr>
        <w:t>المصدر: آفاق الاقتصاد الإقليمي لأفريقيا جنوب الصحراء بواسطة صندوق النقد الدولي –أبريل 2021</w:t>
      </w:r>
    </w:p>
    <w:p w:rsidR="005E35BB" w:rsidRPr="0003289A" w:rsidRDefault="005E35BB" w:rsidP="0003289A">
      <w:pPr>
        <w:bidi/>
        <w:spacing w:after="0" w:line="360" w:lineRule="auto"/>
        <w:jc w:val="both"/>
        <w:rPr>
          <w:rFonts w:asciiTheme="minorBidi" w:hAnsiTheme="minorBidi"/>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7" w:name="_Toc82709014"/>
      <w:r w:rsidRPr="0003289A">
        <w:rPr>
          <w:rFonts w:asciiTheme="minorBidi" w:hAnsiTheme="minorBidi" w:cstheme="minorBidi"/>
          <w:rtl/>
        </w:rPr>
        <w:t>تراكم الاحتياطي</w:t>
      </w:r>
      <w:bookmarkEnd w:id="7"/>
    </w:p>
    <w:p w:rsidR="00521B61" w:rsidRPr="0003289A" w:rsidRDefault="007175A5"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lastRenderedPageBreak/>
        <w:t xml:space="preserve">بلغ متوسط غطاء الاحتياطي الخارجي </w:t>
      </w:r>
      <w:r w:rsidR="00A351CE" w:rsidRPr="0003289A">
        <w:rPr>
          <w:rFonts w:asciiTheme="minorBidi" w:hAnsiTheme="minorBidi"/>
          <w:sz w:val="28"/>
          <w:szCs w:val="28"/>
          <w:rtl/>
          <w:lang w:bidi="ar-EG"/>
        </w:rPr>
        <w:t xml:space="preserve">لإقليم </w:t>
      </w:r>
      <w:r w:rsidRPr="0003289A">
        <w:rPr>
          <w:rFonts w:asciiTheme="minorBidi" w:hAnsiTheme="minorBidi"/>
          <w:sz w:val="28"/>
          <w:szCs w:val="28"/>
          <w:rtl/>
          <w:lang w:bidi="ar-EG"/>
        </w:rPr>
        <w:t>الكوميسا 3.2</w:t>
      </w:r>
      <w:r w:rsidR="00A351CE" w:rsidRPr="0003289A">
        <w:rPr>
          <w:rFonts w:asciiTheme="minorBidi" w:hAnsiTheme="minorBidi"/>
          <w:sz w:val="28"/>
          <w:szCs w:val="28"/>
          <w:rtl/>
          <w:lang w:bidi="ar-EG"/>
        </w:rPr>
        <w:t xml:space="preserve"> شهرًا من واردات السلع والخدمات، وهو</w:t>
      </w:r>
      <w:r w:rsidRPr="0003289A">
        <w:rPr>
          <w:rFonts w:asciiTheme="minorBidi" w:hAnsiTheme="minorBidi"/>
          <w:sz w:val="28"/>
          <w:szCs w:val="28"/>
          <w:rtl/>
          <w:lang w:bidi="ar-EG"/>
        </w:rPr>
        <w:t xml:space="preserve"> </w:t>
      </w:r>
      <w:r w:rsidR="00A351CE" w:rsidRPr="0003289A">
        <w:rPr>
          <w:rFonts w:asciiTheme="minorBidi" w:hAnsiTheme="minorBidi"/>
          <w:sz w:val="28"/>
          <w:szCs w:val="28"/>
          <w:rtl/>
          <w:lang w:bidi="ar-EG"/>
        </w:rPr>
        <w:t xml:space="preserve">انخفاض </w:t>
      </w:r>
      <w:r w:rsidRPr="0003289A">
        <w:rPr>
          <w:rFonts w:asciiTheme="minorBidi" w:hAnsiTheme="minorBidi"/>
          <w:sz w:val="28"/>
          <w:szCs w:val="28"/>
          <w:rtl/>
          <w:lang w:bidi="ar-EG"/>
        </w:rPr>
        <w:t xml:space="preserve">من 3.9 شهرًا لاستيراد السلع والخدمات في عام 2019. ويعكس الانخفاض في الاحتياطيات الخارجية في شهور واردات السلع والخدمات خلال العام قيد المراجعة قدرًا كبيرًا </w:t>
      </w:r>
      <w:r w:rsidR="007D17F9" w:rsidRPr="0003289A">
        <w:rPr>
          <w:rFonts w:asciiTheme="minorBidi" w:hAnsiTheme="minorBidi"/>
          <w:sz w:val="28"/>
          <w:szCs w:val="28"/>
          <w:rtl/>
          <w:lang w:bidi="ar-EG"/>
        </w:rPr>
        <w:t xml:space="preserve">من </w:t>
      </w:r>
      <w:r w:rsidRPr="0003289A">
        <w:rPr>
          <w:rFonts w:asciiTheme="minorBidi" w:hAnsiTheme="minorBidi"/>
          <w:sz w:val="28"/>
          <w:szCs w:val="28"/>
          <w:rtl/>
          <w:lang w:bidi="ar-EG"/>
        </w:rPr>
        <w:t xml:space="preserve">الضغط لتوفير النقد الأجنبي لدعم استيراد المعدات والأدوية المتعلقة </w:t>
      </w:r>
      <w:r w:rsidR="00271284" w:rsidRPr="0003289A">
        <w:rPr>
          <w:rFonts w:asciiTheme="minorBidi" w:hAnsiTheme="minorBidi"/>
          <w:sz w:val="28"/>
          <w:szCs w:val="28"/>
          <w:rtl/>
          <w:lang w:bidi="ar-EG"/>
        </w:rPr>
        <w:t>بفيروس كورونا المستجد</w:t>
      </w:r>
      <w:r w:rsidRPr="0003289A">
        <w:rPr>
          <w:rFonts w:asciiTheme="minorBidi" w:hAnsiTheme="minorBidi"/>
          <w:sz w:val="28"/>
          <w:szCs w:val="28"/>
          <w:rtl/>
          <w:lang w:bidi="ar-EG"/>
        </w:rPr>
        <w:t xml:space="preserve"> </w:t>
      </w:r>
      <w:r w:rsidR="00FB0376" w:rsidRPr="0003289A">
        <w:rPr>
          <w:rFonts w:asciiTheme="minorBidi" w:hAnsiTheme="minorBidi"/>
          <w:sz w:val="28"/>
          <w:szCs w:val="28"/>
          <w:rtl/>
          <w:lang w:bidi="ar-EG"/>
        </w:rPr>
        <w:t>و</w:t>
      </w:r>
      <w:r w:rsidRPr="0003289A">
        <w:rPr>
          <w:rFonts w:asciiTheme="minorBidi" w:hAnsiTheme="minorBidi"/>
          <w:sz w:val="28"/>
          <w:szCs w:val="28"/>
          <w:rtl/>
          <w:lang w:bidi="ar-EG"/>
        </w:rPr>
        <w:t xml:space="preserve">تهدئة التقلبات المدمرة في سعر الصرف ودعم الواردات الغذائية للاقتصادات التي تعاني من نقص الغذاء في </w:t>
      </w:r>
      <w:r w:rsidR="00FB0376" w:rsidRPr="0003289A">
        <w:rPr>
          <w:rFonts w:asciiTheme="minorBidi" w:hAnsiTheme="minorBidi"/>
          <w:sz w:val="28"/>
          <w:szCs w:val="28"/>
          <w:rtl/>
          <w:lang w:bidi="ar-EG"/>
        </w:rPr>
        <w:t>الإقليم</w:t>
      </w:r>
      <w:r w:rsidRPr="0003289A">
        <w:rPr>
          <w:rFonts w:asciiTheme="minorBidi" w:hAnsiTheme="minorBidi"/>
          <w:sz w:val="28"/>
          <w:szCs w:val="28"/>
          <w:rtl/>
          <w:lang w:bidi="ar-EG"/>
        </w:rPr>
        <w:t xml:space="preserve">. </w:t>
      </w:r>
      <w:r w:rsidR="00FB0376" w:rsidRPr="0003289A">
        <w:rPr>
          <w:rFonts w:asciiTheme="minorBidi" w:hAnsiTheme="minorBidi"/>
          <w:sz w:val="28"/>
          <w:szCs w:val="28"/>
          <w:rtl/>
          <w:lang w:bidi="ar-EG"/>
        </w:rPr>
        <w:t xml:space="preserve">وعلى الرغم من </w:t>
      </w:r>
      <w:r w:rsidR="00874798" w:rsidRPr="0003289A">
        <w:rPr>
          <w:rFonts w:asciiTheme="minorBidi" w:hAnsiTheme="minorBidi"/>
          <w:sz w:val="28"/>
          <w:szCs w:val="28"/>
          <w:rtl/>
          <w:lang w:bidi="ar-EG"/>
        </w:rPr>
        <w:t>الانخفاض،</w:t>
      </w:r>
      <w:r w:rsidR="00FB0376" w:rsidRPr="0003289A">
        <w:rPr>
          <w:rFonts w:asciiTheme="minorBidi" w:hAnsiTheme="minorBidi"/>
          <w:sz w:val="28"/>
          <w:szCs w:val="28"/>
          <w:rtl/>
          <w:lang w:bidi="ar-EG"/>
        </w:rPr>
        <w:t xml:space="preserve"> </w:t>
      </w:r>
      <w:r w:rsidR="00874798" w:rsidRPr="0003289A">
        <w:rPr>
          <w:rFonts w:asciiTheme="minorBidi" w:hAnsiTheme="minorBidi"/>
          <w:sz w:val="28"/>
          <w:szCs w:val="28"/>
          <w:rtl/>
          <w:lang w:bidi="ar-EG"/>
        </w:rPr>
        <w:t xml:space="preserve">فإن </w:t>
      </w:r>
      <w:r w:rsidRPr="0003289A">
        <w:rPr>
          <w:rFonts w:asciiTheme="minorBidi" w:hAnsiTheme="minorBidi"/>
          <w:sz w:val="28"/>
          <w:szCs w:val="28"/>
          <w:rtl/>
          <w:lang w:bidi="ar-EG"/>
        </w:rPr>
        <w:t xml:space="preserve">متوسط تغطية احتياطي الواردات المستقبلية للسلع والخدمات لثلاثة أشهر على مدى السنوات الأربع المتتالية الماضية هو شهادة على السياسات النقدية وسياسات أسعار الصرف الحكيمة. </w:t>
      </w:r>
      <w:r w:rsidR="00874798" w:rsidRPr="0003289A">
        <w:rPr>
          <w:rFonts w:asciiTheme="minorBidi" w:hAnsiTheme="minorBidi"/>
          <w:sz w:val="28"/>
          <w:szCs w:val="28"/>
          <w:rtl/>
          <w:lang w:bidi="ar-EG"/>
        </w:rPr>
        <w:t>و</w:t>
      </w:r>
      <w:r w:rsidRPr="0003289A">
        <w:rPr>
          <w:rFonts w:asciiTheme="minorBidi" w:hAnsiTheme="minorBidi"/>
          <w:sz w:val="28"/>
          <w:szCs w:val="28"/>
          <w:rtl/>
          <w:lang w:bidi="ar-EG"/>
        </w:rPr>
        <w:t xml:space="preserve">في السنوات </w:t>
      </w:r>
      <w:r w:rsidR="00874798" w:rsidRPr="0003289A">
        <w:rPr>
          <w:rFonts w:asciiTheme="minorBidi" w:hAnsiTheme="minorBidi"/>
          <w:sz w:val="28"/>
          <w:szCs w:val="28"/>
          <w:rtl/>
          <w:lang w:bidi="ar-EG"/>
        </w:rPr>
        <w:t>خارج هذا النطاق 2021 و2022</w:t>
      </w:r>
      <w:r w:rsidRPr="0003289A">
        <w:rPr>
          <w:rFonts w:asciiTheme="minorBidi" w:hAnsiTheme="minorBidi"/>
          <w:sz w:val="28"/>
          <w:szCs w:val="28"/>
          <w:rtl/>
          <w:lang w:bidi="ar-EG"/>
        </w:rPr>
        <w:t xml:space="preserve">، من المتوقع أن يحوم متوسط مركز الاحتياطي الخارجي </w:t>
      </w:r>
      <w:r w:rsidR="00874798" w:rsidRPr="0003289A">
        <w:rPr>
          <w:rFonts w:asciiTheme="minorBidi" w:hAnsiTheme="minorBidi"/>
          <w:sz w:val="28"/>
          <w:szCs w:val="28"/>
          <w:rtl/>
          <w:lang w:bidi="ar-EG"/>
        </w:rPr>
        <w:t>للإقليم</w:t>
      </w:r>
      <w:r w:rsidRPr="0003289A">
        <w:rPr>
          <w:rFonts w:asciiTheme="minorBidi" w:hAnsiTheme="minorBidi"/>
          <w:sz w:val="28"/>
          <w:szCs w:val="28"/>
          <w:rtl/>
          <w:lang w:bidi="ar-EG"/>
        </w:rPr>
        <w:t xml:space="preserve"> حول المتوسط التاريخي البالغ 3.2 شهرًا لاستيراد السلع والخدمات </w:t>
      </w:r>
      <w:r w:rsidRPr="0003289A">
        <w:rPr>
          <w:rFonts w:asciiTheme="minorBidi" w:hAnsiTheme="minorBidi"/>
          <w:b/>
          <w:bCs/>
          <w:sz w:val="28"/>
          <w:szCs w:val="28"/>
          <w:rtl/>
          <w:lang w:bidi="ar-EG"/>
        </w:rPr>
        <w:t>(الشكل 6)</w:t>
      </w:r>
      <w:r w:rsidRPr="0003289A">
        <w:rPr>
          <w:rFonts w:asciiTheme="minorBidi" w:hAnsiTheme="minorBidi"/>
          <w:sz w:val="28"/>
          <w:szCs w:val="28"/>
          <w:rtl/>
          <w:lang w:bidi="ar-EG"/>
        </w:rPr>
        <w:t>.</w:t>
      </w:r>
    </w:p>
    <w:p w:rsidR="007175A5" w:rsidRPr="0003289A" w:rsidRDefault="007175A5" w:rsidP="0003289A">
      <w:pPr>
        <w:bidi/>
        <w:spacing w:after="0" w:line="360" w:lineRule="auto"/>
        <w:jc w:val="both"/>
        <w:rPr>
          <w:rFonts w:asciiTheme="minorBidi" w:hAnsiTheme="minorBidi"/>
          <w:sz w:val="28"/>
          <w:szCs w:val="28"/>
          <w:rtl/>
          <w:lang w:bidi="ar-EG"/>
        </w:rPr>
      </w:pPr>
    </w:p>
    <w:p w:rsidR="007175A5" w:rsidRPr="0003289A" w:rsidRDefault="007175A5" w:rsidP="0003289A">
      <w:pPr>
        <w:bidi/>
        <w:spacing w:after="0" w:line="360" w:lineRule="auto"/>
        <w:jc w:val="center"/>
        <w:rPr>
          <w:rFonts w:asciiTheme="minorBidi" w:hAnsiTheme="minorBidi"/>
          <w:b/>
          <w:bCs/>
          <w:sz w:val="28"/>
          <w:szCs w:val="28"/>
          <w:rtl/>
          <w:lang w:bidi="ar-EG"/>
        </w:rPr>
      </w:pPr>
      <w:r w:rsidRPr="0003289A">
        <w:rPr>
          <w:rFonts w:asciiTheme="minorBidi" w:hAnsiTheme="minorBidi"/>
          <w:b/>
          <w:bCs/>
          <w:sz w:val="28"/>
          <w:szCs w:val="28"/>
          <w:rtl/>
          <w:lang w:bidi="ar-EG"/>
        </w:rPr>
        <w:t>الشكل 6: متوسط احتياطات الكوميسا (تغطية شهور استيراد البضائع والخدمات)</w:t>
      </w:r>
    </w:p>
    <w:p w:rsidR="007175A5" w:rsidRPr="0003289A" w:rsidRDefault="007175A5" w:rsidP="0003289A">
      <w:pPr>
        <w:bidi/>
        <w:spacing w:after="0" w:line="360" w:lineRule="auto"/>
        <w:jc w:val="center"/>
        <w:rPr>
          <w:rFonts w:asciiTheme="minorBidi" w:hAnsiTheme="minorBidi"/>
          <w:b/>
          <w:bCs/>
          <w:sz w:val="28"/>
          <w:szCs w:val="28"/>
          <w:rtl/>
          <w:lang w:bidi="ar-EG"/>
        </w:rPr>
      </w:pPr>
      <w:r w:rsidRPr="0003289A">
        <w:rPr>
          <w:rFonts w:asciiTheme="minorBidi" w:hAnsiTheme="minorBidi"/>
          <w:noProof/>
        </w:rPr>
        <w:drawing>
          <wp:inline distT="0" distB="0" distL="0" distR="0" wp14:anchorId="13ECA14E" wp14:editId="77F4FC02">
            <wp:extent cx="5732145" cy="2701011"/>
            <wp:effectExtent l="0" t="0" r="1905"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5A5" w:rsidRPr="0003289A" w:rsidRDefault="007175A5" w:rsidP="0003289A">
      <w:pPr>
        <w:bidi/>
        <w:spacing w:after="0" w:line="360" w:lineRule="auto"/>
        <w:jc w:val="both"/>
        <w:rPr>
          <w:rFonts w:asciiTheme="minorBidi" w:hAnsiTheme="minorBidi"/>
          <w:sz w:val="28"/>
          <w:szCs w:val="28"/>
          <w:rtl/>
          <w:lang w:bidi="ar-EG"/>
        </w:rPr>
      </w:pPr>
      <w:r w:rsidRPr="0003289A">
        <w:rPr>
          <w:rFonts w:asciiTheme="minorBidi" w:hAnsiTheme="minorBidi"/>
          <w:b/>
          <w:bCs/>
          <w:sz w:val="28"/>
          <w:szCs w:val="28"/>
          <w:rtl/>
          <w:lang w:bidi="ar-EG"/>
        </w:rPr>
        <w:t>المصدر: آفاق الاقتصاد الإقليمي لأفريقيا جنوب الصحراء بواسطة صندوق النقد الدولي –أبريل 2021</w:t>
      </w:r>
    </w:p>
    <w:p w:rsidR="007175A5" w:rsidRPr="0003289A" w:rsidRDefault="007175A5" w:rsidP="0003289A">
      <w:pPr>
        <w:bidi/>
        <w:spacing w:after="0" w:line="360" w:lineRule="auto"/>
        <w:jc w:val="center"/>
        <w:rPr>
          <w:rFonts w:asciiTheme="minorBidi" w:hAnsiTheme="minorBidi"/>
          <w:b/>
          <w:bCs/>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8" w:name="_Toc82709015"/>
      <w:r w:rsidRPr="0003289A">
        <w:rPr>
          <w:rFonts w:asciiTheme="minorBidi" w:hAnsiTheme="minorBidi" w:cstheme="minorBidi"/>
          <w:rtl/>
        </w:rPr>
        <w:t>التطلعات متوسطة الأجل والتوصيات لفرصة التغيير</w:t>
      </w:r>
      <w:bookmarkEnd w:id="8"/>
    </w:p>
    <w:p w:rsidR="00460CC9" w:rsidRPr="0003289A" w:rsidRDefault="007175A5" w:rsidP="0003289A">
      <w:pPr>
        <w:pStyle w:val="ListParagraph"/>
        <w:numPr>
          <w:ilvl w:val="0"/>
          <w:numId w:val="42"/>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 xml:space="preserve">يتمثل التحدي المباشر لمعظم </w:t>
      </w:r>
      <w:r w:rsidR="00644F94" w:rsidRPr="0003289A">
        <w:rPr>
          <w:rFonts w:asciiTheme="minorBidi" w:hAnsiTheme="minorBidi"/>
          <w:sz w:val="28"/>
          <w:szCs w:val="28"/>
          <w:rtl/>
          <w:lang w:bidi="ar-EG"/>
        </w:rPr>
        <w:t xml:space="preserve">دول الإقليم </w:t>
      </w:r>
      <w:r w:rsidRPr="0003289A">
        <w:rPr>
          <w:rFonts w:asciiTheme="minorBidi" w:hAnsiTheme="minorBidi"/>
          <w:sz w:val="28"/>
          <w:szCs w:val="28"/>
          <w:rtl/>
          <w:lang w:bidi="ar-EG"/>
        </w:rPr>
        <w:t xml:space="preserve">في وقف </w:t>
      </w:r>
      <w:r w:rsidR="00644F94" w:rsidRPr="0003289A">
        <w:rPr>
          <w:rFonts w:asciiTheme="minorBidi" w:hAnsiTheme="minorBidi"/>
          <w:sz w:val="28"/>
          <w:szCs w:val="28"/>
          <w:rtl/>
          <w:lang w:bidi="ar-EG"/>
        </w:rPr>
        <w:t>وباء فيروس كورونا المستجد</w:t>
      </w:r>
      <w:r w:rsidRPr="0003289A">
        <w:rPr>
          <w:rFonts w:asciiTheme="minorBidi" w:hAnsiTheme="minorBidi"/>
          <w:sz w:val="28"/>
          <w:szCs w:val="28"/>
          <w:rtl/>
          <w:lang w:bidi="ar-EG"/>
        </w:rPr>
        <w:t xml:space="preserve"> حيث لا </w:t>
      </w:r>
      <w:r w:rsidR="00644F94" w:rsidRPr="0003289A">
        <w:rPr>
          <w:rFonts w:asciiTheme="minorBidi" w:hAnsiTheme="minorBidi"/>
          <w:sz w:val="28"/>
          <w:szCs w:val="28"/>
          <w:rtl/>
          <w:lang w:bidi="ar-EG"/>
        </w:rPr>
        <w:t>يزال الإقليم</w:t>
      </w:r>
      <w:r w:rsidRPr="0003289A">
        <w:rPr>
          <w:rFonts w:asciiTheme="minorBidi" w:hAnsiTheme="minorBidi"/>
          <w:sz w:val="28"/>
          <w:szCs w:val="28"/>
          <w:rtl/>
          <w:lang w:bidi="ar-EG"/>
        </w:rPr>
        <w:t xml:space="preserve"> في قبضة الوباء الصحي والطوارئ الاقتصادية. </w:t>
      </w:r>
      <w:r w:rsidR="00644F94" w:rsidRPr="0003289A">
        <w:rPr>
          <w:rFonts w:asciiTheme="minorBidi" w:hAnsiTheme="minorBidi"/>
          <w:sz w:val="28"/>
          <w:szCs w:val="28"/>
          <w:rtl/>
          <w:lang w:bidi="ar-EG"/>
        </w:rPr>
        <w:t>ولذا</w:t>
      </w:r>
      <w:r w:rsidRPr="0003289A">
        <w:rPr>
          <w:rFonts w:asciiTheme="minorBidi" w:hAnsiTheme="minorBidi"/>
          <w:sz w:val="28"/>
          <w:szCs w:val="28"/>
          <w:rtl/>
          <w:lang w:bidi="ar-EG"/>
        </w:rPr>
        <w:t xml:space="preserve">، </w:t>
      </w:r>
      <w:r w:rsidR="00644F94" w:rsidRPr="0003289A">
        <w:rPr>
          <w:rFonts w:asciiTheme="minorBidi" w:hAnsiTheme="minorBidi"/>
          <w:sz w:val="28"/>
          <w:szCs w:val="28"/>
          <w:rtl/>
          <w:lang w:bidi="ar-EG"/>
        </w:rPr>
        <w:t xml:space="preserve">لا يزال </w:t>
      </w:r>
      <w:r w:rsidRPr="0003289A">
        <w:rPr>
          <w:rFonts w:asciiTheme="minorBidi" w:hAnsiTheme="minorBidi"/>
          <w:sz w:val="28"/>
          <w:szCs w:val="28"/>
          <w:rtl/>
          <w:lang w:bidi="ar-EG"/>
        </w:rPr>
        <w:t xml:space="preserve">من الأولويات </w:t>
      </w:r>
      <w:r w:rsidR="00644F94" w:rsidRPr="0003289A">
        <w:rPr>
          <w:rFonts w:asciiTheme="minorBidi" w:hAnsiTheme="minorBidi"/>
          <w:sz w:val="28"/>
          <w:szCs w:val="28"/>
          <w:rtl/>
          <w:lang w:bidi="ar-EG"/>
        </w:rPr>
        <w:t>من الآن فصاعدًا إنقاذ الأرواح –</w:t>
      </w:r>
      <w:r w:rsidRPr="0003289A">
        <w:rPr>
          <w:rFonts w:asciiTheme="minorBidi" w:hAnsiTheme="minorBidi"/>
          <w:sz w:val="28"/>
          <w:szCs w:val="28"/>
          <w:rtl/>
          <w:lang w:bidi="ar-EG"/>
        </w:rPr>
        <w:t>مما يستلزم إنفاقًا إضافيًا لتعزيز النظم الصحية المحلية وج</w:t>
      </w:r>
      <w:r w:rsidR="00644F94" w:rsidRPr="0003289A">
        <w:rPr>
          <w:rFonts w:asciiTheme="minorBidi" w:hAnsiTheme="minorBidi"/>
          <w:sz w:val="28"/>
          <w:szCs w:val="28"/>
          <w:rtl/>
          <w:lang w:bidi="ar-EG"/>
        </w:rPr>
        <w:t>هود الاحتواء</w:t>
      </w:r>
      <w:r w:rsidRPr="0003289A">
        <w:rPr>
          <w:rFonts w:asciiTheme="minorBidi" w:hAnsiTheme="minorBidi"/>
          <w:sz w:val="28"/>
          <w:szCs w:val="28"/>
          <w:rtl/>
          <w:lang w:bidi="ar-EG"/>
        </w:rPr>
        <w:t>، ولضمان توفر المتطلبات اللوجستية والإدارية لإطلاق اللقاح.</w:t>
      </w:r>
    </w:p>
    <w:p w:rsidR="00460CC9" w:rsidRPr="0003289A" w:rsidRDefault="007175A5" w:rsidP="0003289A">
      <w:pPr>
        <w:pStyle w:val="ListParagraph"/>
        <w:numPr>
          <w:ilvl w:val="0"/>
          <w:numId w:val="42"/>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lastRenderedPageBreak/>
        <w:t xml:space="preserve">يتعين على الدول الأعضاء بذل كل ما في وسعها لدعم سرعة تعافي اقتصاداتها. </w:t>
      </w:r>
      <w:r w:rsidR="00644F94" w:rsidRPr="0003289A">
        <w:rPr>
          <w:rFonts w:asciiTheme="minorBidi" w:hAnsiTheme="minorBidi"/>
          <w:sz w:val="28"/>
          <w:szCs w:val="28"/>
          <w:rtl/>
          <w:lang w:bidi="ar-EG"/>
        </w:rPr>
        <w:t>و</w:t>
      </w:r>
      <w:r w:rsidRPr="0003289A">
        <w:rPr>
          <w:rFonts w:asciiTheme="minorBidi" w:hAnsiTheme="minorBidi"/>
          <w:sz w:val="28"/>
          <w:szCs w:val="28"/>
          <w:rtl/>
          <w:lang w:bidi="ar-EG"/>
        </w:rPr>
        <w:t xml:space="preserve">ينبغي مواصلة </w:t>
      </w:r>
      <w:r w:rsidR="00644F94" w:rsidRPr="0003289A">
        <w:rPr>
          <w:rFonts w:asciiTheme="minorBidi" w:hAnsiTheme="minorBidi"/>
          <w:sz w:val="28"/>
          <w:szCs w:val="28"/>
          <w:rtl/>
          <w:lang w:bidi="ar-EG"/>
        </w:rPr>
        <w:t>التحفيز المالي على المدى القصير، بحيث يستهدف الصحة العامة، والاستجابة للأزمات</w:t>
      </w:r>
      <w:r w:rsidRPr="0003289A">
        <w:rPr>
          <w:rFonts w:asciiTheme="minorBidi" w:hAnsiTheme="minorBidi"/>
          <w:sz w:val="28"/>
          <w:szCs w:val="28"/>
          <w:rtl/>
          <w:lang w:bidi="ar-EG"/>
        </w:rPr>
        <w:t>، ودعم الدخل للفئ</w:t>
      </w:r>
      <w:r w:rsidR="00644F94" w:rsidRPr="0003289A">
        <w:rPr>
          <w:rFonts w:asciiTheme="minorBidi" w:hAnsiTheme="minorBidi"/>
          <w:sz w:val="28"/>
          <w:szCs w:val="28"/>
          <w:rtl/>
          <w:lang w:bidi="ar-EG"/>
        </w:rPr>
        <w:t>ات الأكثر ضعفًا</w:t>
      </w:r>
      <w:r w:rsidRPr="0003289A">
        <w:rPr>
          <w:rFonts w:asciiTheme="minorBidi" w:hAnsiTheme="minorBidi"/>
          <w:sz w:val="28"/>
          <w:szCs w:val="28"/>
          <w:rtl/>
          <w:lang w:bidi="ar-EG"/>
        </w:rPr>
        <w:t>.</w:t>
      </w:r>
    </w:p>
    <w:p w:rsidR="00460CC9" w:rsidRPr="0003289A" w:rsidRDefault="007175A5" w:rsidP="0003289A">
      <w:pPr>
        <w:pStyle w:val="ListParagraph"/>
        <w:numPr>
          <w:ilvl w:val="0"/>
          <w:numId w:val="42"/>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للس</w:t>
      </w:r>
      <w:r w:rsidR="00644F94" w:rsidRPr="0003289A">
        <w:rPr>
          <w:rFonts w:asciiTheme="minorBidi" w:hAnsiTheme="minorBidi"/>
          <w:sz w:val="28"/>
          <w:szCs w:val="28"/>
          <w:rtl/>
          <w:lang w:bidi="ar-EG"/>
        </w:rPr>
        <w:t>يطرة على مستويات الديون المهددة</w:t>
      </w:r>
      <w:r w:rsidRPr="0003289A">
        <w:rPr>
          <w:rFonts w:asciiTheme="minorBidi" w:hAnsiTheme="minorBidi"/>
          <w:sz w:val="28"/>
          <w:szCs w:val="28"/>
          <w:rtl/>
          <w:lang w:bidi="ar-EG"/>
        </w:rPr>
        <w:t xml:space="preserve">، ستحتاج </w:t>
      </w:r>
      <w:r w:rsidR="00644F94" w:rsidRPr="0003289A">
        <w:rPr>
          <w:rFonts w:asciiTheme="minorBidi" w:hAnsiTheme="minorBidi"/>
          <w:sz w:val="28"/>
          <w:szCs w:val="28"/>
          <w:rtl/>
          <w:lang w:bidi="ar-EG"/>
        </w:rPr>
        <w:t xml:space="preserve">الدول </w:t>
      </w:r>
      <w:r w:rsidRPr="0003289A">
        <w:rPr>
          <w:rFonts w:asciiTheme="minorBidi" w:hAnsiTheme="minorBidi"/>
          <w:sz w:val="28"/>
          <w:szCs w:val="28"/>
          <w:rtl/>
          <w:lang w:bidi="ar-EG"/>
        </w:rPr>
        <w:t xml:space="preserve">الأعضاء </w:t>
      </w:r>
      <w:r w:rsidR="00644F94" w:rsidRPr="0003289A">
        <w:rPr>
          <w:rFonts w:asciiTheme="minorBidi" w:hAnsiTheme="minorBidi"/>
          <w:sz w:val="28"/>
          <w:szCs w:val="28"/>
          <w:rtl/>
          <w:lang w:bidi="ar-EG"/>
        </w:rPr>
        <w:t>إلى خلق المزيد من الحيز المالي</w:t>
      </w:r>
      <w:r w:rsidRPr="0003289A">
        <w:rPr>
          <w:rFonts w:asciiTheme="minorBidi" w:hAnsiTheme="minorBidi"/>
          <w:sz w:val="28"/>
          <w:szCs w:val="28"/>
          <w:rtl/>
          <w:lang w:bidi="ar-EG"/>
        </w:rPr>
        <w:t xml:space="preserve"> من خلال تعبئة الإيرادات المحلية وتحديد الأولويات ومكاسب الكفاءة في الإنفاق. </w:t>
      </w:r>
      <w:r w:rsidR="00644F94" w:rsidRPr="0003289A">
        <w:rPr>
          <w:rFonts w:asciiTheme="minorBidi" w:hAnsiTheme="minorBidi"/>
          <w:sz w:val="28"/>
          <w:szCs w:val="28"/>
          <w:rtl/>
          <w:lang w:bidi="ar-EG"/>
        </w:rPr>
        <w:t>و</w:t>
      </w:r>
      <w:r w:rsidRPr="0003289A">
        <w:rPr>
          <w:rFonts w:asciiTheme="minorBidi" w:hAnsiTheme="minorBidi"/>
          <w:sz w:val="28"/>
          <w:szCs w:val="28"/>
          <w:rtl/>
          <w:lang w:bidi="ar-EG"/>
        </w:rPr>
        <w:t>بالإضافة إلى</w:t>
      </w:r>
      <w:r w:rsidR="00644F94" w:rsidRPr="0003289A">
        <w:rPr>
          <w:rFonts w:asciiTheme="minorBidi" w:hAnsiTheme="minorBidi"/>
          <w:sz w:val="28"/>
          <w:szCs w:val="28"/>
          <w:rtl/>
          <w:lang w:bidi="ar-EG"/>
        </w:rPr>
        <w:t xml:space="preserve"> إجراءات الإيرادات والإنفاق هذه</w:t>
      </w:r>
      <w:r w:rsidRPr="0003289A">
        <w:rPr>
          <w:rFonts w:asciiTheme="minorBidi" w:hAnsiTheme="minorBidi"/>
          <w:sz w:val="28"/>
          <w:szCs w:val="28"/>
          <w:rtl/>
          <w:lang w:bidi="ar-EG"/>
        </w:rPr>
        <w:t xml:space="preserve">، تحتاج الحكومات إلى تعظيم الحيز المالي من خلال تحسين </w:t>
      </w:r>
      <w:r w:rsidR="00644F94" w:rsidRPr="0003289A">
        <w:rPr>
          <w:rFonts w:asciiTheme="minorBidi" w:hAnsiTheme="minorBidi"/>
          <w:sz w:val="28"/>
          <w:szCs w:val="28"/>
          <w:rtl/>
          <w:lang w:bidi="ar-EG"/>
        </w:rPr>
        <w:t xml:space="preserve">الأطر المالية </w:t>
      </w:r>
      <w:r w:rsidRPr="0003289A">
        <w:rPr>
          <w:rFonts w:asciiTheme="minorBidi" w:hAnsiTheme="minorBidi"/>
          <w:sz w:val="28"/>
          <w:szCs w:val="28"/>
          <w:rtl/>
          <w:lang w:bidi="ar-EG"/>
        </w:rPr>
        <w:t>الخاصة بها لتحقيق التوازن الموثوق به بين الحاجة إلى الدعم قصير الأجل والدمج على المدى المتوسط.</w:t>
      </w:r>
    </w:p>
    <w:p w:rsidR="00460CC9" w:rsidRPr="0003289A" w:rsidRDefault="00644F94" w:rsidP="0003289A">
      <w:pPr>
        <w:pStyle w:val="ListParagraph"/>
        <w:numPr>
          <w:ilvl w:val="0"/>
          <w:numId w:val="42"/>
        </w:numPr>
        <w:bidi/>
        <w:spacing w:after="0" w:line="360" w:lineRule="auto"/>
        <w:jc w:val="both"/>
        <w:rPr>
          <w:rFonts w:asciiTheme="minorBidi" w:hAnsiTheme="minorBidi"/>
          <w:sz w:val="28"/>
          <w:szCs w:val="28"/>
          <w:lang w:bidi="ar-EG"/>
        </w:rPr>
      </w:pPr>
      <w:r w:rsidRPr="0003289A">
        <w:rPr>
          <w:rFonts w:asciiTheme="minorBidi" w:hAnsiTheme="minorBidi"/>
          <w:sz w:val="28"/>
          <w:szCs w:val="28"/>
          <w:rtl/>
          <w:lang w:bidi="ar-EG"/>
        </w:rPr>
        <w:t>وعلى المدى المتوسط​</w:t>
      </w:r>
      <w:r w:rsidR="007175A5" w:rsidRPr="0003289A">
        <w:rPr>
          <w:rFonts w:asciiTheme="minorBidi" w:hAnsiTheme="minorBidi"/>
          <w:sz w:val="28"/>
          <w:szCs w:val="28"/>
          <w:rtl/>
          <w:lang w:bidi="ar-EG"/>
        </w:rPr>
        <w:t xml:space="preserve">، سيكون التحول الهيكلي والتنويع الاقتصادي للاقتصادات الفردية في </w:t>
      </w:r>
      <w:r w:rsidRPr="0003289A">
        <w:rPr>
          <w:rFonts w:asciiTheme="minorBidi" w:hAnsiTheme="minorBidi"/>
          <w:sz w:val="28"/>
          <w:szCs w:val="28"/>
          <w:rtl/>
          <w:lang w:bidi="ar-EG"/>
        </w:rPr>
        <w:t xml:space="preserve">الإقليم </w:t>
      </w:r>
      <w:r w:rsidR="007175A5" w:rsidRPr="0003289A">
        <w:rPr>
          <w:rFonts w:asciiTheme="minorBidi" w:hAnsiTheme="minorBidi"/>
          <w:sz w:val="28"/>
          <w:szCs w:val="28"/>
          <w:rtl/>
          <w:lang w:bidi="ar-EG"/>
        </w:rPr>
        <w:t xml:space="preserve">أمرين حاسمين. </w:t>
      </w:r>
      <w:r w:rsidRPr="0003289A">
        <w:rPr>
          <w:rFonts w:asciiTheme="minorBidi" w:hAnsiTheme="minorBidi"/>
          <w:sz w:val="28"/>
          <w:szCs w:val="28"/>
          <w:rtl/>
          <w:lang w:bidi="ar-EG"/>
        </w:rPr>
        <w:t xml:space="preserve">وقد </w:t>
      </w:r>
      <w:r w:rsidR="007175A5" w:rsidRPr="0003289A">
        <w:rPr>
          <w:rFonts w:asciiTheme="minorBidi" w:hAnsiTheme="minorBidi"/>
          <w:sz w:val="28"/>
          <w:szCs w:val="28"/>
          <w:rtl/>
          <w:lang w:bidi="ar-EG"/>
        </w:rPr>
        <w:t xml:space="preserve">أظهر </w:t>
      </w:r>
      <w:r w:rsidRPr="0003289A">
        <w:rPr>
          <w:rFonts w:asciiTheme="minorBidi" w:hAnsiTheme="minorBidi"/>
          <w:sz w:val="28"/>
          <w:szCs w:val="28"/>
          <w:rtl/>
          <w:lang w:bidi="ar-EG"/>
        </w:rPr>
        <w:t xml:space="preserve">وباء فيروس كورونا المستجد </w:t>
      </w:r>
      <w:r w:rsidR="007175A5" w:rsidRPr="0003289A">
        <w:rPr>
          <w:rFonts w:asciiTheme="minorBidi" w:hAnsiTheme="minorBidi"/>
          <w:sz w:val="28"/>
          <w:szCs w:val="28"/>
          <w:rtl/>
          <w:lang w:bidi="ar-EG"/>
        </w:rPr>
        <w:t>بوض</w:t>
      </w:r>
      <w:r w:rsidRPr="0003289A">
        <w:rPr>
          <w:rFonts w:asciiTheme="minorBidi" w:hAnsiTheme="minorBidi"/>
          <w:sz w:val="28"/>
          <w:szCs w:val="28"/>
          <w:rtl/>
          <w:lang w:bidi="ar-EG"/>
        </w:rPr>
        <w:t>وح أنه مع قنوات التجارة المعطلة</w:t>
      </w:r>
      <w:r w:rsidR="007175A5" w:rsidRPr="0003289A">
        <w:rPr>
          <w:rFonts w:asciiTheme="minorBidi" w:hAnsiTheme="minorBidi"/>
          <w:sz w:val="28"/>
          <w:szCs w:val="28"/>
          <w:rtl/>
          <w:lang w:bidi="ar-EG"/>
        </w:rPr>
        <w:t>، تمكن المصنعون المحليون من ال</w:t>
      </w:r>
      <w:r w:rsidRPr="0003289A">
        <w:rPr>
          <w:rFonts w:asciiTheme="minorBidi" w:hAnsiTheme="minorBidi"/>
          <w:sz w:val="28"/>
          <w:szCs w:val="28"/>
          <w:rtl/>
          <w:lang w:bidi="ar-EG"/>
        </w:rPr>
        <w:t>ارتقاء إلى مستوى المناسبة. لذلك</w:t>
      </w:r>
      <w:r w:rsidR="007175A5" w:rsidRPr="0003289A">
        <w:rPr>
          <w:rFonts w:asciiTheme="minorBidi" w:hAnsiTheme="minorBidi"/>
          <w:sz w:val="28"/>
          <w:szCs w:val="28"/>
          <w:rtl/>
          <w:lang w:bidi="ar-EG"/>
        </w:rPr>
        <w:t xml:space="preserve">، هناك حاجة للحفاظ على صناعات الإمدادات الصيدلانية والطبية الناشئة في حقبة ما بعد </w:t>
      </w:r>
      <w:r w:rsidRPr="0003289A">
        <w:rPr>
          <w:rFonts w:asciiTheme="minorBidi" w:hAnsiTheme="minorBidi"/>
          <w:sz w:val="28"/>
          <w:szCs w:val="28"/>
          <w:rtl/>
          <w:lang w:bidi="ar-EG"/>
        </w:rPr>
        <w:t>فيروس كورونا المستجد.</w:t>
      </w:r>
    </w:p>
    <w:p w:rsidR="00521B61" w:rsidRPr="0003289A" w:rsidRDefault="007175A5" w:rsidP="0003289A">
      <w:pPr>
        <w:pStyle w:val="ListParagraph"/>
        <w:numPr>
          <w:ilvl w:val="0"/>
          <w:numId w:val="42"/>
        </w:num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الاستفادة من منطقة التجارة الحرة </w:t>
      </w:r>
      <w:r w:rsidR="00644F94" w:rsidRPr="0003289A">
        <w:rPr>
          <w:rFonts w:asciiTheme="minorBidi" w:hAnsiTheme="minorBidi"/>
          <w:sz w:val="28"/>
          <w:szCs w:val="28"/>
          <w:rtl/>
          <w:lang w:bidi="ar-EG"/>
        </w:rPr>
        <w:t xml:space="preserve">لقارة أفريقيا </w:t>
      </w:r>
      <w:r w:rsidRPr="0003289A">
        <w:rPr>
          <w:rFonts w:asciiTheme="minorBidi" w:hAnsiTheme="minorBidi"/>
          <w:sz w:val="28"/>
          <w:szCs w:val="28"/>
          <w:rtl/>
          <w:lang w:bidi="ar-EG"/>
        </w:rPr>
        <w:t xml:space="preserve">لتعزيز القيمة المضافة والنمو الصناعي وزيادة دور </w:t>
      </w:r>
      <w:proofErr w:type="spellStart"/>
      <w:r w:rsidRPr="0003289A">
        <w:rPr>
          <w:rFonts w:asciiTheme="minorBidi" w:hAnsiTheme="minorBidi"/>
          <w:sz w:val="28"/>
          <w:szCs w:val="28"/>
          <w:rtl/>
          <w:lang w:bidi="ar-EG"/>
        </w:rPr>
        <w:t>الرقمنة</w:t>
      </w:r>
      <w:proofErr w:type="spellEnd"/>
      <w:r w:rsidRPr="0003289A">
        <w:rPr>
          <w:rFonts w:asciiTheme="minorBidi" w:hAnsiTheme="minorBidi"/>
          <w:sz w:val="28"/>
          <w:szCs w:val="28"/>
          <w:rtl/>
          <w:lang w:bidi="ar-EG"/>
        </w:rPr>
        <w:t xml:space="preserve"> لمواصلة لعب دور مهم في اقتصادات </w:t>
      </w:r>
      <w:r w:rsidR="00644F94" w:rsidRPr="0003289A">
        <w:rPr>
          <w:rFonts w:asciiTheme="minorBidi" w:hAnsiTheme="minorBidi"/>
          <w:sz w:val="28"/>
          <w:szCs w:val="28"/>
          <w:rtl/>
          <w:lang w:bidi="ar-EG"/>
        </w:rPr>
        <w:t>الإقليم</w:t>
      </w:r>
      <w:r w:rsidRPr="0003289A">
        <w:rPr>
          <w:rFonts w:asciiTheme="minorBidi" w:hAnsiTheme="minorBidi"/>
          <w:sz w:val="28"/>
          <w:szCs w:val="28"/>
          <w:rtl/>
          <w:lang w:bidi="ar-EG"/>
        </w:rPr>
        <w:t>.</w:t>
      </w:r>
    </w:p>
    <w:p w:rsidR="007175A5" w:rsidRPr="0003289A" w:rsidRDefault="007175A5" w:rsidP="0003289A">
      <w:pPr>
        <w:bidi/>
        <w:spacing w:after="0" w:line="360" w:lineRule="auto"/>
        <w:jc w:val="both"/>
        <w:rPr>
          <w:rFonts w:asciiTheme="minorBidi" w:hAnsiTheme="minorBidi"/>
          <w:b/>
          <w:bCs/>
          <w:sz w:val="28"/>
          <w:szCs w:val="28"/>
          <w:rtl/>
          <w:lang w:bidi="ar-EG"/>
        </w:rPr>
      </w:pPr>
    </w:p>
    <w:p w:rsidR="00521B61" w:rsidRPr="0003289A" w:rsidRDefault="00521B61" w:rsidP="0003289A">
      <w:pPr>
        <w:pStyle w:val="Heading1"/>
        <w:spacing w:line="360" w:lineRule="auto"/>
        <w:rPr>
          <w:rFonts w:asciiTheme="minorBidi" w:hAnsiTheme="minorBidi" w:cstheme="minorBidi"/>
          <w:rtl/>
        </w:rPr>
      </w:pPr>
      <w:bookmarkStart w:id="9" w:name="_Toc82709016"/>
      <w:r w:rsidRPr="0003289A">
        <w:rPr>
          <w:rFonts w:asciiTheme="minorBidi" w:hAnsiTheme="minorBidi" w:cstheme="minorBidi"/>
          <w:rtl/>
        </w:rPr>
        <w:t>المخاطر المتوقعة</w:t>
      </w:r>
      <w:bookmarkEnd w:id="9"/>
    </w:p>
    <w:p w:rsidR="00521B61" w:rsidRPr="0003289A" w:rsidRDefault="007175A5" w:rsidP="0003289A">
      <w:pPr>
        <w:bidi/>
        <w:spacing w:after="0" w:line="360" w:lineRule="auto"/>
        <w:jc w:val="both"/>
        <w:rPr>
          <w:rFonts w:asciiTheme="minorBidi" w:hAnsiTheme="minorBidi"/>
          <w:sz w:val="28"/>
          <w:szCs w:val="28"/>
          <w:rtl/>
          <w:lang w:bidi="ar-EG"/>
        </w:rPr>
      </w:pPr>
      <w:r w:rsidRPr="0003289A">
        <w:rPr>
          <w:rFonts w:asciiTheme="minorBidi" w:hAnsiTheme="minorBidi"/>
          <w:sz w:val="28"/>
          <w:szCs w:val="28"/>
          <w:rtl/>
          <w:lang w:bidi="ar-EG"/>
        </w:rPr>
        <w:t xml:space="preserve">المخاطر التي يشكلها </w:t>
      </w:r>
      <w:r w:rsidR="00644F94" w:rsidRPr="0003289A">
        <w:rPr>
          <w:rFonts w:asciiTheme="minorBidi" w:hAnsiTheme="minorBidi"/>
          <w:sz w:val="28"/>
          <w:szCs w:val="28"/>
          <w:rtl/>
          <w:lang w:bidi="ar-EG"/>
        </w:rPr>
        <w:t xml:space="preserve">وباء فيروس كورونا المستجد غير مسبوقة حيث </w:t>
      </w:r>
      <w:r w:rsidRPr="0003289A">
        <w:rPr>
          <w:rFonts w:asciiTheme="minorBidi" w:hAnsiTheme="minorBidi"/>
          <w:sz w:val="28"/>
          <w:szCs w:val="28"/>
          <w:rtl/>
          <w:lang w:bidi="ar-EG"/>
        </w:rPr>
        <w:t xml:space="preserve">إن الأزمة لا مثيل لها التي يكون تأثيرها على الاقتصاد العالمي مدمرًا ولا يزال غير مؤكد إلى حد كبير. </w:t>
      </w:r>
      <w:r w:rsidR="00644F94" w:rsidRPr="0003289A">
        <w:rPr>
          <w:rFonts w:asciiTheme="minorBidi" w:hAnsiTheme="minorBidi"/>
          <w:sz w:val="28"/>
          <w:szCs w:val="28"/>
          <w:rtl/>
          <w:lang w:bidi="ar-EG"/>
        </w:rPr>
        <w:t>و</w:t>
      </w:r>
      <w:r w:rsidRPr="0003289A">
        <w:rPr>
          <w:rFonts w:asciiTheme="minorBidi" w:hAnsiTheme="minorBidi"/>
          <w:sz w:val="28"/>
          <w:szCs w:val="28"/>
          <w:rtl/>
          <w:lang w:bidi="ar-EG"/>
        </w:rPr>
        <w:t xml:space="preserve">التحدي الحقيقي للسياسة هو التقييم الصحيح </w:t>
      </w:r>
      <w:proofErr w:type="spellStart"/>
      <w:r w:rsidRPr="0003289A">
        <w:rPr>
          <w:rFonts w:asciiTheme="minorBidi" w:hAnsiTheme="minorBidi"/>
          <w:sz w:val="28"/>
          <w:szCs w:val="28"/>
          <w:rtl/>
          <w:lang w:bidi="ar-EG"/>
        </w:rPr>
        <w:t>للمفاضلات</w:t>
      </w:r>
      <w:proofErr w:type="spellEnd"/>
      <w:r w:rsidRPr="0003289A">
        <w:rPr>
          <w:rFonts w:asciiTheme="minorBidi" w:hAnsiTheme="minorBidi"/>
          <w:sz w:val="28"/>
          <w:szCs w:val="28"/>
          <w:rtl/>
          <w:lang w:bidi="ar-EG"/>
        </w:rPr>
        <w:t xml:space="preserve"> بين الأولويات القصيرة والمتوسطة والطويلة الأجل. </w:t>
      </w:r>
      <w:r w:rsidR="00644F94" w:rsidRPr="0003289A">
        <w:rPr>
          <w:rFonts w:asciiTheme="minorBidi" w:hAnsiTheme="minorBidi"/>
          <w:sz w:val="28"/>
          <w:szCs w:val="28"/>
          <w:rtl/>
          <w:lang w:bidi="ar-EG"/>
        </w:rPr>
        <w:t>و</w:t>
      </w:r>
      <w:r w:rsidRPr="0003289A">
        <w:rPr>
          <w:rFonts w:asciiTheme="minorBidi" w:hAnsiTheme="minorBidi"/>
          <w:sz w:val="28"/>
          <w:szCs w:val="28"/>
          <w:rtl/>
          <w:lang w:bidi="ar-EG"/>
        </w:rPr>
        <w:t>ستكون هناك حاجة إلى تدخلات سياسية مختلفة مع دخول الاقتصادات المراحل المتتالية من الاستجابة للأزمات: النجاة من الوباء (ضمان تخصيص الموارد الكافية للاحتياج</w:t>
      </w:r>
      <w:r w:rsidR="00644F94" w:rsidRPr="0003289A">
        <w:rPr>
          <w:rFonts w:asciiTheme="minorBidi" w:hAnsiTheme="minorBidi"/>
          <w:sz w:val="28"/>
          <w:szCs w:val="28"/>
          <w:rtl/>
          <w:lang w:bidi="ar-EG"/>
        </w:rPr>
        <w:t>ات الأساسية مثل الأدوية والغذاء</w:t>
      </w:r>
      <w:r w:rsidRPr="0003289A">
        <w:rPr>
          <w:rFonts w:asciiTheme="minorBidi" w:hAnsiTheme="minorBidi"/>
          <w:sz w:val="28"/>
          <w:szCs w:val="28"/>
          <w:rtl/>
          <w:lang w:bidi="ar-EG"/>
        </w:rPr>
        <w:t xml:space="preserve"> و</w:t>
      </w:r>
      <w:r w:rsidR="00644F94" w:rsidRPr="0003289A">
        <w:rPr>
          <w:rFonts w:asciiTheme="minorBidi" w:hAnsiTheme="minorBidi"/>
          <w:sz w:val="28"/>
          <w:szCs w:val="28"/>
          <w:rtl/>
          <w:lang w:bidi="ar-EG"/>
        </w:rPr>
        <w:t>ضمان صحة الناس البدنية والعقلية فضلًا عن السلامة)</w:t>
      </w:r>
      <w:r w:rsidRPr="0003289A">
        <w:rPr>
          <w:rFonts w:asciiTheme="minorBidi" w:hAnsiTheme="minorBidi"/>
          <w:sz w:val="28"/>
          <w:szCs w:val="28"/>
          <w:rtl/>
          <w:lang w:bidi="ar-EG"/>
        </w:rPr>
        <w:t xml:space="preserve"> </w:t>
      </w:r>
      <w:r w:rsidR="00644F94" w:rsidRPr="0003289A">
        <w:rPr>
          <w:rFonts w:asciiTheme="minorBidi" w:hAnsiTheme="minorBidi"/>
          <w:sz w:val="28"/>
          <w:szCs w:val="28"/>
          <w:rtl/>
          <w:lang w:bidi="ar-EG"/>
        </w:rPr>
        <w:t>و</w:t>
      </w:r>
      <w:r w:rsidRPr="0003289A">
        <w:rPr>
          <w:rFonts w:asciiTheme="minorBidi" w:hAnsiTheme="minorBidi"/>
          <w:sz w:val="28"/>
          <w:szCs w:val="28"/>
          <w:rtl/>
          <w:lang w:bidi="ar-EG"/>
        </w:rPr>
        <w:t xml:space="preserve">العودة إلى الوضع الطبيعي (دعم الأفراد والشركات لاستئناف أنشطتهم وإصلاح الأضرار التي لحقت بهم أثناء </w:t>
      </w:r>
      <w:r w:rsidR="00644F94" w:rsidRPr="0003289A">
        <w:rPr>
          <w:rFonts w:asciiTheme="minorBidi" w:hAnsiTheme="minorBidi"/>
          <w:sz w:val="28"/>
          <w:szCs w:val="28"/>
          <w:rtl/>
          <w:lang w:bidi="ar-EG"/>
        </w:rPr>
        <w:t>الوباء</w:t>
      </w:r>
      <w:r w:rsidRPr="0003289A">
        <w:rPr>
          <w:rFonts w:asciiTheme="minorBidi" w:hAnsiTheme="minorBidi"/>
          <w:sz w:val="28"/>
          <w:szCs w:val="28"/>
          <w:rtl/>
          <w:lang w:bidi="ar-EG"/>
        </w:rPr>
        <w:t xml:space="preserve">) وإعادة التركيز على المدى الطويل (تحويل الموارد والاهتمام بالتنمية طويلة المدى). إن عدم اتباع السياسة بشكل صحيح في أي من هذه المراحل يشكل مخاطر جسيمة على اقتصادات الدول الأعضاء </w:t>
      </w:r>
      <w:r w:rsidR="00644F94" w:rsidRPr="0003289A">
        <w:rPr>
          <w:rFonts w:asciiTheme="minorBidi" w:hAnsiTheme="minorBidi"/>
          <w:sz w:val="28"/>
          <w:szCs w:val="28"/>
          <w:rtl/>
          <w:lang w:bidi="ar-EG"/>
        </w:rPr>
        <w:t>ل</w:t>
      </w:r>
      <w:r w:rsidRPr="0003289A">
        <w:rPr>
          <w:rFonts w:asciiTheme="minorBidi" w:hAnsiTheme="minorBidi"/>
          <w:sz w:val="28"/>
          <w:szCs w:val="28"/>
          <w:rtl/>
          <w:lang w:bidi="ar-EG"/>
        </w:rPr>
        <w:t>لكوميسا.</w:t>
      </w:r>
    </w:p>
    <w:p w:rsidR="007175A5" w:rsidRPr="0003289A" w:rsidRDefault="007175A5" w:rsidP="0003289A">
      <w:pPr>
        <w:bidi/>
        <w:spacing w:after="0" w:line="360" w:lineRule="auto"/>
        <w:jc w:val="both"/>
        <w:rPr>
          <w:rFonts w:asciiTheme="minorBidi" w:hAnsiTheme="minorBidi"/>
          <w:sz w:val="28"/>
          <w:szCs w:val="28"/>
          <w:rtl/>
          <w:lang w:bidi="ar-EG"/>
        </w:rPr>
      </w:pPr>
    </w:p>
    <w:p w:rsidR="007175A5" w:rsidRPr="0003289A" w:rsidRDefault="00521B61" w:rsidP="0003289A">
      <w:pPr>
        <w:pStyle w:val="Heading1"/>
        <w:numPr>
          <w:ilvl w:val="0"/>
          <w:numId w:val="0"/>
        </w:numPr>
        <w:spacing w:line="360" w:lineRule="auto"/>
        <w:ind w:left="360" w:hanging="360"/>
        <w:rPr>
          <w:rFonts w:asciiTheme="minorBidi" w:hAnsiTheme="minorBidi" w:cstheme="minorBidi"/>
        </w:rPr>
      </w:pPr>
      <w:bookmarkStart w:id="10" w:name="_Toc82709017"/>
      <w:r w:rsidRPr="0003289A">
        <w:rPr>
          <w:rFonts w:asciiTheme="minorBidi" w:hAnsiTheme="minorBidi" w:cstheme="minorBidi"/>
          <w:rtl/>
        </w:rPr>
        <w:t>المراجع</w:t>
      </w:r>
      <w:bookmarkEnd w:id="10"/>
    </w:p>
    <w:p w:rsidR="007175A5" w:rsidRPr="0003289A" w:rsidRDefault="007175A5" w:rsidP="0003289A">
      <w:pPr>
        <w:pStyle w:val="ListParagraph"/>
        <w:numPr>
          <w:ilvl w:val="0"/>
          <w:numId w:val="40"/>
        </w:numPr>
        <w:spacing w:after="0" w:line="360" w:lineRule="auto"/>
        <w:jc w:val="both"/>
        <w:rPr>
          <w:rFonts w:asciiTheme="minorBidi" w:hAnsiTheme="minorBidi"/>
          <w:bCs/>
        </w:rPr>
      </w:pPr>
      <w:r w:rsidRPr="0003289A">
        <w:rPr>
          <w:rFonts w:asciiTheme="minorBidi" w:hAnsiTheme="minorBidi"/>
          <w:bCs/>
        </w:rPr>
        <w:t xml:space="preserve">IMF REO Sub Saharan Africa (April 2021) </w:t>
      </w:r>
    </w:p>
    <w:p w:rsidR="007175A5" w:rsidRPr="0003289A" w:rsidRDefault="007175A5" w:rsidP="0003289A">
      <w:pPr>
        <w:pStyle w:val="ListParagraph"/>
        <w:numPr>
          <w:ilvl w:val="0"/>
          <w:numId w:val="40"/>
        </w:numPr>
        <w:spacing w:after="0" w:line="360" w:lineRule="auto"/>
        <w:jc w:val="both"/>
        <w:rPr>
          <w:rFonts w:asciiTheme="minorBidi" w:hAnsiTheme="minorBidi"/>
          <w:bCs/>
        </w:rPr>
      </w:pPr>
      <w:r w:rsidRPr="0003289A">
        <w:rPr>
          <w:rFonts w:asciiTheme="minorBidi" w:hAnsiTheme="minorBidi"/>
          <w:bCs/>
        </w:rPr>
        <w:t xml:space="preserve">IMF REO Middle East and Central Asia (April 2021); </w:t>
      </w:r>
    </w:p>
    <w:p w:rsidR="007175A5" w:rsidRPr="0003289A" w:rsidRDefault="007175A5" w:rsidP="0003289A">
      <w:pPr>
        <w:pStyle w:val="ListParagraph"/>
        <w:numPr>
          <w:ilvl w:val="0"/>
          <w:numId w:val="40"/>
        </w:numPr>
        <w:spacing w:after="0" w:line="360" w:lineRule="auto"/>
        <w:jc w:val="both"/>
        <w:rPr>
          <w:rFonts w:asciiTheme="minorBidi" w:hAnsiTheme="minorBidi"/>
          <w:bCs/>
        </w:rPr>
      </w:pPr>
      <w:r w:rsidRPr="0003289A">
        <w:rPr>
          <w:rFonts w:asciiTheme="minorBidi" w:hAnsiTheme="minorBidi"/>
          <w:bCs/>
        </w:rPr>
        <w:lastRenderedPageBreak/>
        <w:t>IMF Article IV Consultations Staff Country Reports</w:t>
      </w:r>
    </w:p>
    <w:p w:rsidR="00521B61" w:rsidRPr="0003289A" w:rsidRDefault="007175A5" w:rsidP="0003289A">
      <w:pPr>
        <w:pStyle w:val="ListParagraph"/>
        <w:numPr>
          <w:ilvl w:val="0"/>
          <w:numId w:val="40"/>
        </w:numPr>
        <w:spacing w:after="0" w:line="360" w:lineRule="auto"/>
        <w:jc w:val="both"/>
        <w:rPr>
          <w:rFonts w:asciiTheme="minorBidi" w:hAnsiTheme="minorBidi"/>
          <w:rtl/>
        </w:rPr>
      </w:pPr>
      <w:proofErr w:type="spellStart"/>
      <w:r w:rsidRPr="0003289A">
        <w:rPr>
          <w:rFonts w:asciiTheme="minorBidi" w:hAnsiTheme="minorBidi"/>
          <w:bCs/>
        </w:rPr>
        <w:t>AfDB</w:t>
      </w:r>
      <w:proofErr w:type="spellEnd"/>
      <w:r w:rsidRPr="0003289A">
        <w:rPr>
          <w:rFonts w:asciiTheme="minorBidi" w:hAnsiTheme="minorBidi"/>
          <w:bCs/>
        </w:rPr>
        <w:t xml:space="preserve"> African Economic Outlook (March 2021)</w:t>
      </w:r>
      <w:bookmarkStart w:id="11" w:name="_GoBack"/>
      <w:bookmarkEnd w:id="11"/>
    </w:p>
    <w:sectPr w:rsidR="00521B61" w:rsidRPr="0003289A" w:rsidSect="001A4A6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771" w:rsidRDefault="00C11771" w:rsidP="00907DE2">
      <w:pPr>
        <w:spacing w:after="0" w:line="240" w:lineRule="auto"/>
      </w:pPr>
      <w:r>
        <w:separator/>
      </w:r>
    </w:p>
  </w:endnote>
  <w:endnote w:type="continuationSeparator" w:id="0">
    <w:p w:rsidR="00C11771" w:rsidRDefault="00C11771" w:rsidP="0090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771" w:rsidRDefault="00C11771" w:rsidP="00907DE2">
      <w:pPr>
        <w:spacing w:after="0" w:line="240" w:lineRule="auto"/>
      </w:pPr>
      <w:r>
        <w:separator/>
      </w:r>
    </w:p>
  </w:footnote>
  <w:footnote w:type="continuationSeparator" w:id="0">
    <w:p w:rsidR="00C11771" w:rsidRDefault="00C11771" w:rsidP="00907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3" w:rsidRPr="00907DE2" w:rsidRDefault="00E37113" w:rsidP="00907DE2">
    <w:pPr>
      <w:pStyle w:val="Header"/>
      <w:bidi/>
      <w:rPr>
        <w:rFonts w:asciiTheme="minorBidi" w:hAnsiTheme="minorBidi"/>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EFA"/>
    <w:multiLevelType w:val="hybridMultilevel"/>
    <w:tmpl w:val="F168B012"/>
    <w:lvl w:ilvl="0" w:tplc="32A69776">
      <w:start w:val="5"/>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67BBA"/>
    <w:multiLevelType w:val="hybridMultilevel"/>
    <w:tmpl w:val="A3441A5A"/>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1C12"/>
    <w:multiLevelType w:val="hybridMultilevel"/>
    <w:tmpl w:val="30080364"/>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11CEB"/>
    <w:multiLevelType w:val="hybridMultilevel"/>
    <w:tmpl w:val="1BF62440"/>
    <w:lvl w:ilvl="0" w:tplc="571AFEF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A4A59"/>
    <w:multiLevelType w:val="hybridMultilevel"/>
    <w:tmpl w:val="A964D066"/>
    <w:lvl w:ilvl="0" w:tplc="F33A7D76">
      <w:start w:val="16"/>
      <w:numFmt w:val="bullet"/>
      <w:lvlText w:val=""/>
      <w:lvlJc w:val="left"/>
      <w:pPr>
        <w:ind w:left="1440" w:hanging="360"/>
      </w:pPr>
      <w:rPr>
        <w:rFonts w:ascii="Symbol" w:eastAsiaTheme="minorHAnsi" w:hAnsi="Symbol"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E7445"/>
    <w:multiLevelType w:val="hybridMultilevel"/>
    <w:tmpl w:val="4ACA9FE0"/>
    <w:lvl w:ilvl="0" w:tplc="C36A5EC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9617F3"/>
    <w:multiLevelType w:val="hybridMultilevel"/>
    <w:tmpl w:val="EDBCF9D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C2876"/>
    <w:multiLevelType w:val="multilevel"/>
    <w:tmpl w:val="7F08F886"/>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B6FC7"/>
    <w:multiLevelType w:val="hybridMultilevel"/>
    <w:tmpl w:val="F2926C14"/>
    <w:lvl w:ilvl="0" w:tplc="A906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F5995"/>
    <w:multiLevelType w:val="multilevel"/>
    <w:tmpl w:val="9350D8C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B142DA"/>
    <w:multiLevelType w:val="hybridMultilevel"/>
    <w:tmpl w:val="CDD2B152"/>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429FD"/>
    <w:multiLevelType w:val="hybridMultilevel"/>
    <w:tmpl w:val="B81A3E0A"/>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2F5F"/>
    <w:multiLevelType w:val="hybridMultilevel"/>
    <w:tmpl w:val="27BCA6FC"/>
    <w:lvl w:ilvl="0" w:tplc="4686F922">
      <w:start w:val="1"/>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804AD7"/>
    <w:multiLevelType w:val="hybridMultilevel"/>
    <w:tmpl w:val="AA169C8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07C5B"/>
    <w:multiLevelType w:val="hybridMultilevel"/>
    <w:tmpl w:val="DF38E7C6"/>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95531"/>
    <w:multiLevelType w:val="multilevel"/>
    <w:tmpl w:val="46F8EE9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BF7A87"/>
    <w:multiLevelType w:val="hybridMultilevel"/>
    <w:tmpl w:val="86562B4A"/>
    <w:lvl w:ilvl="0" w:tplc="7386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56C7"/>
    <w:multiLevelType w:val="hybridMultilevel"/>
    <w:tmpl w:val="D7628394"/>
    <w:lvl w:ilvl="0" w:tplc="571AFEF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60B51"/>
    <w:multiLevelType w:val="hybridMultilevel"/>
    <w:tmpl w:val="DFDA3FDE"/>
    <w:lvl w:ilvl="0" w:tplc="22E289B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3A1206"/>
    <w:multiLevelType w:val="hybridMultilevel"/>
    <w:tmpl w:val="6CEE4DB8"/>
    <w:lvl w:ilvl="0" w:tplc="37CA96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F527D"/>
    <w:multiLevelType w:val="hybridMultilevel"/>
    <w:tmpl w:val="BD8C2E48"/>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74B69"/>
    <w:multiLevelType w:val="hybridMultilevel"/>
    <w:tmpl w:val="7892122A"/>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106B5"/>
    <w:multiLevelType w:val="hybridMultilevel"/>
    <w:tmpl w:val="DCD8F05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49C11E3"/>
    <w:multiLevelType w:val="hybridMultilevel"/>
    <w:tmpl w:val="EFC039E0"/>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62F78"/>
    <w:multiLevelType w:val="hybridMultilevel"/>
    <w:tmpl w:val="36B42860"/>
    <w:lvl w:ilvl="0" w:tplc="2F18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E4694"/>
    <w:multiLevelType w:val="hybridMultilevel"/>
    <w:tmpl w:val="B828753A"/>
    <w:lvl w:ilvl="0" w:tplc="3DA8C022">
      <w:start w:val="2"/>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572208"/>
    <w:multiLevelType w:val="hybridMultilevel"/>
    <w:tmpl w:val="FBFA4C90"/>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B3135C"/>
    <w:multiLevelType w:val="hybridMultilevel"/>
    <w:tmpl w:val="04AC721A"/>
    <w:lvl w:ilvl="0" w:tplc="571AFEF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205514"/>
    <w:multiLevelType w:val="hybridMultilevel"/>
    <w:tmpl w:val="5BF8CD5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43A76"/>
    <w:multiLevelType w:val="hybridMultilevel"/>
    <w:tmpl w:val="13E20C02"/>
    <w:lvl w:ilvl="0" w:tplc="57A25A60">
      <w:start w:val="4"/>
      <w:numFmt w:val="arabicAbjad"/>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951E8B"/>
    <w:multiLevelType w:val="hybridMultilevel"/>
    <w:tmpl w:val="FF22855C"/>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4060B"/>
    <w:multiLevelType w:val="hybridMultilevel"/>
    <w:tmpl w:val="E0164EC0"/>
    <w:lvl w:ilvl="0" w:tplc="B4D6EE7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F13F0D"/>
    <w:multiLevelType w:val="hybridMultilevel"/>
    <w:tmpl w:val="2A347A4E"/>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80229"/>
    <w:multiLevelType w:val="hybridMultilevel"/>
    <w:tmpl w:val="3BD0EA6E"/>
    <w:lvl w:ilvl="0" w:tplc="37CA96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0484C"/>
    <w:multiLevelType w:val="hybridMultilevel"/>
    <w:tmpl w:val="BCA0DF6C"/>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93EE7"/>
    <w:multiLevelType w:val="hybridMultilevel"/>
    <w:tmpl w:val="F4EEEE46"/>
    <w:lvl w:ilvl="0" w:tplc="0654093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E4726"/>
    <w:multiLevelType w:val="hybridMultilevel"/>
    <w:tmpl w:val="40149554"/>
    <w:lvl w:ilvl="0" w:tplc="6746430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0A7A4B"/>
    <w:multiLevelType w:val="hybridMultilevel"/>
    <w:tmpl w:val="E3E691D8"/>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3E7956"/>
    <w:multiLevelType w:val="hybridMultilevel"/>
    <w:tmpl w:val="3FB0D7CA"/>
    <w:lvl w:ilvl="0" w:tplc="6746430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44303"/>
    <w:multiLevelType w:val="hybridMultilevel"/>
    <w:tmpl w:val="3D6EF02E"/>
    <w:lvl w:ilvl="0" w:tplc="07F6D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2A3496"/>
    <w:multiLevelType w:val="hybridMultilevel"/>
    <w:tmpl w:val="2166BE08"/>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C4C2D"/>
    <w:multiLevelType w:val="hybridMultilevel"/>
    <w:tmpl w:val="36F6FE92"/>
    <w:lvl w:ilvl="0" w:tplc="37CA96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6"/>
  </w:num>
  <w:num w:numId="3">
    <w:abstractNumId w:val="14"/>
  </w:num>
  <w:num w:numId="4">
    <w:abstractNumId w:val="24"/>
  </w:num>
  <w:num w:numId="5">
    <w:abstractNumId w:val="27"/>
  </w:num>
  <w:num w:numId="6">
    <w:abstractNumId w:val="16"/>
  </w:num>
  <w:num w:numId="7">
    <w:abstractNumId w:val="10"/>
  </w:num>
  <w:num w:numId="8">
    <w:abstractNumId w:val="26"/>
  </w:num>
  <w:num w:numId="9">
    <w:abstractNumId w:val="4"/>
  </w:num>
  <w:num w:numId="10">
    <w:abstractNumId w:val="21"/>
  </w:num>
  <w:num w:numId="11">
    <w:abstractNumId w:val="40"/>
  </w:num>
  <w:num w:numId="12">
    <w:abstractNumId w:val="32"/>
  </w:num>
  <w:num w:numId="13">
    <w:abstractNumId w:val="15"/>
  </w:num>
  <w:num w:numId="14">
    <w:abstractNumId w:val="31"/>
  </w:num>
  <w:num w:numId="15">
    <w:abstractNumId w:val="13"/>
  </w:num>
  <w:num w:numId="16">
    <w:abstractNumId w:val="6"/>
  </w:num>
  <w:num w:numId="17">
    <w:abstractNumId w:val="17"/>
  </w:num>
  <w:num w:numId="18">
    <w:abstractNumId w:val="3"/>
  </w:num>
  <w:num w:numId="19">
    <w:abstractNumId w:val="28"/>
  </w:num>
  <w:num w:numId="20">
    <w:abstractNumId w:val="25"/>
  </w:num>
  <w:num w:numId="21">
    <w:abstractNumId w:val="8"/>
  </w:num>
  <w:num w:numId="22">
    <w:abstractNumId w:val="1"/>
  </w:num>
  <w:num w:numId="23">
    <w:abstractNumId w:val="5"/>
  </w:num>
  <w:num w:numId="24">
    <w:abstractNumId w:val="35"/>
  </w:num>
  <w:num w:numId="25">
    <w:abstractNumId w:val="30"/>
  </w:num>
  <w:num w:numId="26">
    <w:abstractNumId w:val="12"/>
  </w:num>
  <w:num w:numId="27">
    <w:abstractNumId w:val="11"/>
  </w:num>
  <w:num w:numId="28">
    <w:abstractNumId w:val="18"/>
  </w:num>
  <w:num w:numId="29">
    <w:abstractNumId w:val="38"/>
  </w:num>
  <w:num w:numId="30">
    <w:abstractNumId w:val="34"/>
  </w:num>
  <w:num w:numId="31">
    <w:abstractNumId w:val="29"/>
  </w:num>
  <w:num w:numId="32">
    <w:abstractNumId w:val="39"/>
  </w:num>
  <w:num w:numId="33">
    <w:abstractNumId w:val="20"/>
  </w:num>
  <w:num w:numId="34">
    <w:abstractNumId w:val="23"/>
  </w:num>
  <w:num w:numId="35">
    <w:abstractNumId w:val="0"/>
  </w:num>
  <w:num w:numId="36">
    <w:abstractNumId w:val="37"/>
  </w:num>
  <w:num w:numId="37">
    <w:abstractNumId w:val="2"/>
  </w:num>
  <w:num w:numId="38">
    <w:abstractNumId w:val="9"/>
  </w:num>
  <w:num w:numId="39">
    <w:abstractNumId w:val="41"/>
  </w:num>
  <w:num w:numId="40">
    <w:abstractNumId w:val="22"/>
  </w:num>
  <w:num w:numId="41">
    <w:abstractNumId w:val="3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31"/>
    <w:rsid w:val="00000109"/>
    <w:rsid w:val="0003289A"/>
    <w:rsid w:val="00035E26"/>
    <w:rsid w:val="000527B9"/>
    <w:rsid w:val="000878D4"/>
    <w:rsid w:val="000F037F"/>
    <w:rsid w:val="001028F1"/>
    <w:rsid w:val="00102919"/>
    <w:rsid w:val="0014164B"/>
    <w:rsid w:val="00157670"/>
    <w:rsid w:val="00184E46"/>
    <w:rsid w:val="001869EE"/>
    <w:rsid w:val="001A4A6C"/>
    <w:rsid w:val="001A4C1A"/>
    <w:rsid w:val="001B2F25"/>
    <w:rsid w:val="00203771"/>
    <w:rsid w:val="0023514B"/>
    <w:rsid w:val="002635B3"/>
    <w:rsid w:val="00271284"/>
    <w:rsid w:val="002720F2"/>
    <w:rsid w:val="00277D71"/>
    <w:rsid w:val="002875B0"/>
    <w:rsid w:val="002D1BB2"/>
    <w:rsid w:val="002E1FDF"/>
    <w:rsid w:val="003024C6"/>
    <w:rsid w:val="00315CCA"/>
    <w:rsid w:val="003600A0"/>
    <w:rsid w:val="0039221D"/>
    <w:rsid w:val="003A00E8"/>
    <w:rsid w:val="003C062E"/>
    <w:rsid w:val="003D1C25"/>
    <w:rsid w:val="00405B53"/>
    <w:rsid w:val="0043424B"/>
    <w:rsid w:val="00460CC9"/>
    <w:rsid w:val="00467B71"/>
    <w:rsid w:val="004A6110"/>
    <w:rsid w:val="004E671A"/>
    <w:rsid w:val="004F2F5E"/>
    <w:rsid w:val="0051382A"/>
    <w:rsid w:val="00521B61"/>
    <w:rsid w:val="00534FB1"/>
    <w:rsid w:val="005715CC"/>
    <w:rsid w:val="00597BC5"/>
    <w:rsid w:val="005A1A39"/>
    <w:rsid w:val="005C2FD9"/>
    <w:rsid w:val="005E35BB"/>
    <w:rsid w:val="005E5CBB"/>
    <w:rsid w:val="0063146D"/>
    <w:rsid w:val="00644F94"/>
    <w:rsid w:val="00646458"/>
    <w:rsid w:val="00646F40"/>
    <w:rsid w:val="00663979"/>
    <w:rsid w:val="0067125C"/>
    <w:rsid w:val="00692338"/>
    <w:rsid w:val="00693257"/>
    <w:rsid w:val="00697D9E"/>
    <w:rsid w:val="006E0282"/>
    <w:rsid w:val="007175A5"/>
    <w:rsid w:val="007401C5"/>
    <w:rsid w:val="00764DE4"/>
    <w:rsid w:val="00776342"/>
    <w:rsid w:val="00785C87"/>
    <w:rsid w:val="00793207"/>
    <w:rsid w:val="007B63BF"/>
    <w:rsid w:val="007D17F9"/>
    <w:rsid w:val="007E0D64"/>
    <w:rsid w:val="007E2E9B"/>
    <w:rsid w:val="007E3C31"/>
    <w:rsid w:val="00803A68"/>
    <w:rsid w:val="00825654"/>
    <w:rsid w:val="00827898"/>
    <w:rsid w:val="008544C5"/>
    <w:rsid w:val="008570A5"/>
    <w:rsid w:val="00866773"/>
    <w:rsid w:val="00874798"/>
    <w:rsid w:val="00890C08"/>
    <w:rsid w:val="008C5E63"/>
    <w:rsid w:val="008F5495"/>
    <w:rsid w:val="00907DE2"/>
    <w:rsid w:val="009124FE"/>
    <w:rsid w:val="009269EC"/>
    <w:rsid w:val="0094734D"/>
    <w:rsid w:val="00960890"/>
    <w:rsid w:val="00971525"/>
    <w:rsid w:val="009842DB"/>
    <w:rsid w:val="00987B26"/>
    <w:rsid w:val="00A347F0"/>
    <w:rsid w:val="00A351CE"/>
    <w:rsid w:val="00A41F99"/>
    <w:rsid w:val="00A429FC"/>
    <w:rsid w:val="00A55DB6"/>
    <w:rsid w:val="00A57391"/>
    <w:rsid w:val="00A77DCF"/>
    <w:rsid w:val="00A96D68"/>
    <w:rsid w:val="00AE1D41"/>
    <w:rsid w:val="00B27C99"/>
    <w:rsid w:val="00B468A5"/>
    <w:rsid w:val="00B751B2"/>
    <w:rsid w:val="00BB1963"/>
    <w:rsid w:val="00C00D72"/>
    <w:rsid w:val="00C11771"/>
    <w:rsid w:val="00C3199F"/>
    <w:rsid w:val="00C34001"/>
    <w:rsid w:val="00C62A6D"/>
    <w:rsid w:val="00C83847"/>
    <w:rsid w:val="00CD5D4C"/>
    <w:rsid w:val="00CF7567"/>
    <w:rsid w:val="00D21443"/>
    <w:rsid w:val="00D24B52"/>
    <w:rsid w:val="00D41332"/>
    <w:rsid w:val="00D77422"/>
    <w:rsid w:val="00DB4AA2"/>
    <w:rsid w:val="00DB5018"/>
    <w:rsid w:val="00DD4A84"/>
    <w:rsid w:val="00E208BB"/>
    <w:rsid w:val="00E27134"/>
    <w:rsid w:val="00E30401"/>
    <w:rsid w:val="00E37113"/>
    <w:rsid w:val="00E44228"/>
    <w:rsid w:val="00E64B9F"/>
    <w:rsid w:val="00E95568"/>
    <w:rsid w:val="00F06137"/>
    <w:rsid w:val="00F2085E"/>
    <w:rsid w:val="00F26C88"/>
    <w:rsid w:val="00F36831"/>
    <w:rsid w:val="00F37AAE"/>
    <w:rsid w:val="00F40017"/>
    <w:rsid w:val="00F43A22"/>
    <w:rsid w:val="00F47E96"/>
    <w:rsid w:val="00F63B8A"/>
    <w:rsid w:val="00F77B37"/>
    <w:rsid w:val="00F8487D"/>
    <w:rsid w:val="00F90705"/>
    <w:rsid w:val="00F93DC6"/>
    <w:rsid w:val="00FA2130"/>
    <w:rsid w:val="00FB0376"/>
    <w:rsid w:val="00FD3AD1"/>
    <w:rsid w:val="00FE1312"/>
    <w:rsid w:val="00FE5C46"/>
    <w:rsid w:val="00FF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3371-5B23-4443-9506-D61BB96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521B61"/>
    <w:pPr>
      <w:numPr>
        <w:numId w:val="38"/>
      </w:numPr>
      <w:bidi/>
      <w:spacing w:after="0" w:line="240" w:lineRule="auto"/>
      <w:jc w:val="both"/>
      <w:outlineLvl w:val="0"/>
    </w:pPr>
    <w:rPr>
      <w:rFonts w:ascii="Times New Roman" w:hAnsi="Times New Roman" w:cs="Simplified Arabic"/>
      <w:b/>
      <w:b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DE2"/>
  </w:style>
  <w:style w:type="paragraph" w:styleId="Footer">
    <w:name w:val="footer"/>
    <w:basedOn w:val="Normal"/>
    <w:link w:val="FooterChar"/>
    <w:uiPriority w:val="99"/>
    <w:unhideWhenUsed/>
    <w:rsid w:val="00907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DE2"/>
  </w:style>
  <w:style w:type="table" w:styleId="TableGrid">
    <w:name w:val="Table Grid"/>
    <w:basedOn w:val="TableNormal"/>
    <w:uiPriority w:val="39"/>
    <w:rsid w:val="0090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907DE2"/>
    <w:pPr>
      <w:ind w:left="720"/>
      <w:contextualSpacing/>
    </w:pPr>
  </w:style>
  <w:style w:type="character" w:customStyle="1" w:styleId="Heading1Char">
    <w:name w:val="Heading 1 Char"/>
    <w:basedOn w:val="DefaultParagraphFont"/>
    <w:link w:val="Heading1"/>
    <w:uiPriority w:val="9"/>
    <w:rsid w:val="00521B61"/>
    <w:rPr>
      <w:rFonts w:ascii="Times New Roman" w:hAnsi="Times New Roman" w:cs="Simplified Arabic"/>
      <w:b/>
      <w:bCs/>
      <w:sz w:val="28"/>
      <w:szCs w:val="28"/>
      <w:lang w:bidi="ar-EG"/>
    </w:rPr>
  </w:style>
  <w:style w:type="paragraph" w:styleId="TOCHeading">
    <w:name w:val="TOC Heading"/>
    <w:basedOn w:val="Heading1"/>
    <w:next w:val="Normal"/>
    <w:uiPriority w:val="39"/>
    <w:unhideWhenUsed/>
    <w:qFormat/>
    <w:rsid w:val="00521B61"/>
    <w:pPr>
      <w:keepNext/>
      <w:keepLines/>
      <w:numPr>
        <w:numId w:val="0"/>
      </w:numPr>
      <w:bidi w:val="0"/>
      <w:spacing w:before="240" w:line="259" w:lineRule="auto"/>
      <w:contextualSpacing w:val="0"/>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521B61"/>
    <w:pPr>
      <w:tabs>
        <w:tab w:val="left" w:pos="477"/>
        <w:tab w:val="right" w:leader="dot" w:pos="9017"/>
      </w:tabs>
      <w:bidi/>
      <w:spacing w:after="0" w:line="240" w:lineRule="auto"/>
      <w:jc w:val="both"/>
    </w:pPr>
  </w:style>
  <w:style w:type="character" w:styleId="Hyperlink">
    <w:name w:val="Hyperlink"/>
    <w:basedOn w:val="DefaultParagraphFont"/>
    <w:uiPriority w:val="99"/>
    <w:unhideWhenUsed/>
    <w:rsid w:val="00521B61"/>
    <w:rPr>
      <w:color w:val="0563C1" w:themeColor="hyperlink"/>
      <w:u w:val="single"/>
    </w:rPr>
  </w:style>
  <w:style w:type="paragraph" w:styleId="NoSpacing">
    <w:name w:val="No Spacing"/>
    <w:link w:val="NoSpacingChar"/>
    <w:uiPriority w:val="1"/>
    <w:qFormat/>
    <w:rsid w:val="007175A5"/>
    <w:pPr>
      <w:spacing w:after="0" w:line="240" w:lineRule="auto"/>
    </w:pPr>
    <w:rPr>
      <w:rFonts w:ascii="Arial" w:eastAsia="Calibri" w:hAnsi="Arial" w:cs="Arial"/>
      <w:bCs/>
      <w:lang w:val="fr-FR" w:eastAsia="fr-FR" w:bidi="fr-FR"/>
    </w:rPr>
  </w:style>
  <w:style w:type="character" w:customStyle="1" w:styleId="NoSpacingChar">
    <w:name w:val="No Spacing Char"/>
    <w:link w:val="NoSpacing"/>
    <w:uiPriority w:val="1"/>
    <w:rsid w:val="007175A5"/>
    <w:rPr>
      <w:rFonts w:ascii="Arial" w:eastAsia="Calibri" w:hAnsi="Arial" w:cs="Arial"/>
      <w:bCs/>
      <w:lang w:val="fr-FR" w:eastAsia="fr-FR" w:bidi="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717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Sheet1!$L$2</c:f>
              <c:strCache>
                <c:ptCount val="1"/>
                <c:pt idx="0">
                  <c:v>GDP</c:v>
                </c:pt>
              </c:strCache>
            </c:strRef>
          </c:tx>
          <c:spPr>
            <a:ln w="28575" cap="rnd">
              <a:solidFill>
                <a:schemeClr val="accent1"/>
              </a:solidFill>
              <a:round/>
            </a:ln>
            <a:effectLst/>
          </c:spPr>
          <c:marker>
            <c:symbol val="none"/>
          </c:marker>
          <c:dPt>
            <c:idx val="1"/>
            <c:marker>
              <c:symbol val="none"/>
            </c:marker>
            <c:bubble3D val="0"/>
            <c:extLst xmlns:c16r2="http://schemas.microsoft.com/office/drawing/2015/06/chart">
              <c:ext xmlns:c16="http://schemas.microsoft.com/office/drawing/2014/chart" uri="{C3380CC4-5D6E-409C-BE32-E72D297353CC}">
                <c16:uniqueId val="{00000001-6CF2-4529-B90D-E61397B644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Sheet1!$K$3:$K$9</c:f>
              <c:strCache>
                <c:ptCount val="7"/>
                <c:pt idx="0">
                  <c:v>2016</c:v>
                </c:pt>
                <c:pt idx="1">
                  <c:v>2017</c:v>
                </c:pt>
                <c:pt idx="2">
                  <c:v>2018</c:v>
                </c:pt>
                <c:pt idx="3">
                  <c:v>2019</c:v>
                </c:pt>
                <c:pt idx="4">
                  <c:v>2020</c:v>
                </c:pt>
                <c:pt idx="5">
                  <c:v>2021p</c:v>
                </c:pt>
                <c:pt idx="6">
                  <c:v>2022p</c:v>
                </c:pt>
              </c:strCache>
            </c:strRef>
          </c:cat>
          <c:val>
            <c:numRef>
              <c:f>Sheet1!$L$3:$L$9</c:f>
              <c:numCache>
                <c:formatCode>General</c:formatCode>
                <c:ptCount val="7"/>
                <c:pt idx="0">
                  <c:v>6.2</c:v>
                </c:pt>
                <c:pt idx="1">
                  <c:v>5.7</c:v>
                </c:pt>
                <c:pt idx="2">
                  <c:v>6</c:v>
                </c:pt>
                <c:pt idx="3">
                  <c:v>5.6</c:v>
                </c:pt>
                <c:pt idx="4">
                  <c:v>0.2</c:v>
                </c:pt>
                <c:pt idx="5">
                  <c:v>4.3</c:v>
                </c:pt>
                <c:pt idx="6">
                  <c:v>6</c:v>
                </c:pt>
              </c:numCache>
            </c:numRef>
          </c:val>
          <c:smooth val="0"/>
          <c:extLst xmlns:c16r2="http://schemas.microsoft.com/office/drawing/2015/06/chart">
            <c:ext xmlns:c16="http://schemas.microsoft.com/office/drawing/2014/chart" uri="{C3380CC4-5D6E-409C-BE32-E72D297353CC}">
              <c16:uniqueId val="{00000000-6CF2-4529-B90D-E61397B644E3}"/>
            </c:ext>
          </c:extLst>
        </c:ser>
        <c:dLbls>
          <c:showLegendKey val="0"/>
          <c:showVal val="0"/>
          <c:showCatName val="0"/>
          <c:showSerName val="0"/>
          <c:showPercent val="0"/>
          <c:showBubbleSize val="0"/>
        </c:dLbls>
        <c:smooth val="0"/>
        <c:axId val="-1727933584"/>
        <c:axId val="-1727919440"/>
      </c:lineChart>
      <c:catAx>
        <c:axId val="-172793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919440"/>
        <c:crosses val="autoZero"/>
        <c:auto val="1"/>
        <c:lblAlgn val="ctr"/>
        <c:lblOffset val="100"/>
        <c:noMultiLvlLbl val="0"/>
      </c:catAx>
      <c:valAx>
        <c:axId val="-172791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793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14260717410336E-2"/>
          <c:y val="5.0925925925925923E-2"/>
          <c:w val="0.90286351706036749"/>
          <c:h val="0.8416746864975212"/>
        </c:manualLayout>
      </c:layout>
      <c:lineChart>
        <c:grouping val="standard"/>
        <c:varyColors val="0"/>
        <c:ser>
          <c:idx val="0"/>
          <c:order val="0"/>
          <c:tx>
            <c:strRef>
              <c:f>Sheet1!$L$58</c:f>
              <c:strCache>
                <c:ptCount val="1"/>
                <c:pt idx="0">
                  <c:v>cpi</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Sheet1!$K$59:$K$64</c:f>
              <c:strCache>
                <c:ptCount val="6"/>
                <c:pt idx="0">
                  <c:v>2017</c:v>
                </c:pt>
                <c:pt idx="1">
                  <c:v>2018</c:v>
                </c:pt>
                <c:pt idx="2">
                  <c:v>2019</c:v>
                </c:pt>
                <c:pt idx="3">
                  <c:v>2020</c:v>
                </c:pt>
                <c:pt idx="4">
                  <c:v>2021p</c:v>
                </c:pt>
                <c:pt idx="5">
                  <c:v>2022p</c:v>
                </c:pt>
              </c:strCache>
            </c:strRef>
          </c:cat>
          <c:val>
            <c:numRef>
              <c:f>Sheet1!$L$59:$L$64</c:f>
              <c:numCache>
                <c:formatCode>General</c:formatCode>
                <c:ptCount val="6"/>
                <c:pt idx="0">
                  <c:v>9.8000000000000007</c:v>
                </c:pt>
                <c:pt idx="1">
                  <c:v>9.5</c:v>
                </c:pt>
                <c:pt idx="2">
                  <c:v>13.5</c:v>
                </c:pt>
                <c:pt idx="3">
                  <c:v>19.100000000000001</c:v>
                </c:pt>
                <c:pt idx="4">
                  <c:v>11.4</c:v>
                </c:pt>
                <c:pt idx="5">
                  <c:v>7.4</c:v>
                </c:pt>
              </c:numCache>
            </c:numRef>
          </c:val>
          <c:smooth val="0"/>
          <c:extLst xmlns:c16r2="http://schemas.microsoft.com/office/drawing/2015/06/chart">
            <c:ext xmlns:c16="http://schemas.microsoft.com/office/drawing/2014/chart" uri="{C3380CC4-5D6E-409C-BE32-E72D297353CC}">
              <c16:uniqueId val="{00000000-FBD5-4133-A687-942711CC988D}"/>
            </c:ext>
          </c:extLst>
        </c:ser>
        <c:dLbls>
          <c:dLblPos val="ctr"/>
          <c:showLegendKey val="0"/>
          <c:showVal val="1"/>
          <c:showCatName val="0"/>
          <c:showSerName val="0"/>
          <c:showPercent val="0"/>
          <c:showBubbleSize val="0"/>
        </c:dLbls>
        <c:smooth val="0"/>
        <c:axId val="-1727932496"/>
        <c:axId val="-1727930320"/>
      </c:lineChart>
      <c:catAx>
        <c:axId val="-172793249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930320"/>
        <c:crosses val="autoZero"/>
        <c:auto val="1"/>
        <c:lblAlgn val="ctr"/>
        <c:lblOffset val="100"/>
        <c:noMultiLvlLbl val="0"/>
      </c:catAx>
      <c:valAx>
        <c:axId val="-1727930320"/>
        <c:scaling>
          <c:orientation val="minMax"/>
          <c:max val="20"/>
          <c:min val="6"/>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93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Sheet1!$L$39</c:f>
              <c:strCache>
                <c:ptCount val="1"/>
                <c:pt idx="0">
                  <c:v>fd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Sheet1!$K$40:$K$45</c:f>
              <c:strCache>
                <c:ptCount val="6"/>
                <c:pt idx="0">
                  <c:v>2017</c:v>
                </c:pt>
                <c:pt idx="1">
                  <c:v>2018</c:v>
                </c:pt>
                <c:pt idx="2">
                  <c:v>2019</c:v>
                </c:pt>
                <c:pt idx="3">
                  <c:v>2020</c:v>
                </c:pt>
                <c:pt idx="4">
                  <c:v>2021p</c:v>
                </c:pt>
                <c:pt idx="5">
                  <c:v>2022p</c:v>
                </c:pt>
              </c:strCache>
            </c:strRef>
          </c:cat>
          <c:val>
            <c:numRef>
              <c:f>Sheet1!$L$40:$L$45</c:f>
              <c:numCache>
                <c:formatCode>General</c:formatCode>
                <c:ptCount val="6"/>
                <c:pt idx="0">
                  <c:v>-4.5</c:v>
                </c:pt>
                <c:pt idx="1">
                  <c:v>-4.2</c:v>
                </c:pt>
                <c:pt idx="2">
                  <c:v>-4.8</c:v>
                </c:pt>
                <c:pt idx="3">
                  <c:v>-5.7</c:v>
                </c:pt>
                <c:pt idx="4">
                  <c:v>-5.2</c:v>
                </c:pt>
                <c:pt idx="5">
                  <c:v>-4</c:v>
                </c:pt>
              </c:numCache>
            </c:numRef>
          </c:val>
          <c:extLst xmlns:c16r2="http://schemas.microsoft.com/office/drawing/2015/06/chart">
            <c:ext xmlns:c16="http://schemas.microsoft.com/office/drawing/2014/chart" uri="{C3380CC4-5D6E-409C-BE32-E72D297353CC}">
              <c16:uniqueId val="{00000000-12E8-470A-9EFC-2CC48EB181AB}"/>
            </c:ext>
          </c:extLst>
        </c:ser>
        <c:dLbls>
          <c:dLblPos val="inEnd"/>
          <c:showLegendKey val="0"/>
          <c:showVal val="1"/>
          <c:showCatName val="0"/>
          <c:showSerName val="0"/>
          <c:showPercent val="0"/>
          <c:showBubbleSize val="0"/>
        </c:dLbls>
        <c:gapWidth val="65"/>
        <c:axId val="-1727929776"/>
        <c:axId val="-1727918896"/>
      </c:barChart>
      <c:catAx>
        <c:axId val="-17279297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27918896"/>
        <c:crosses val="autoZero"/>
        <c:auto val="1"/>
        <c:lblAlgn val="ctr"/>
        <c:lblOffset val="100"/>
        <c:noMultiLvlLbl val="0"/>
      </c:catAx>
      <c:valAx>
        <c:axId val="-17279188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279297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Sheet1!$L$49</c:f>
              <c:strCache>
                <c:ptCount val="1"/>
                <c:pt idx="0">
                  <c:v>Debt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Sheet1!$K$50:$K$55</c:f>
              <c:strCache>
                <c:ptCount val="6"/>
                <c:pt idx="0">
                  <c:v>2010-17</c:v>
                </c:pt>
                <c:pt idx="1">
                  <c:v>2018</c:v>
                </c:pt>
                <c:pt idx="2">
                  <c:v>2019</c:v>
                </c:pt>
                <c:pt idx="3">
                  <c:v>2020</c:v>
                </c:pt>
                <c:pt idx="4">
                  <c:v>2021p</c:v>
                </c:pt>
                <c:pt idx="5">
                  <c:v>2022p</c:v>
                </c:pt>
              </c:strCache>
            </c:strRef>
          </c:cat>
          <c:val>
            <c:numRef>
              <c:f>Sheet1!$L$50:$L$55</c:f>
              <c:numCache>
                <c:formatCode>General</c:formatCode>
                <c:ptCount val="6"/>
                <c:pt idx="0">
                  <c:v>40.200000000000003</c:v>
                </c:pt>
                <c:pt idx="1">
                  <c:v>50.9</c:v>
                </c:pt>
                <c:pt idx="2">
                  <c:v>56.6</c:v>
                </c:pt>
                <c:pt idx="3">
                  <c:v>59.3</c:v>
                </c:pt>
                <c:pt idx="4">
                  <c:v>58.3</c:v>
                </c:pt>
                <c:pt idx="5">
                  <c:v>59.4</c:v>
                </c:pt>
              </c:numCache>
            </c:numRef>
          </c:val>
          <c:extLst xmlns:c16r2="http://schemas.microsoft.com/office/drawing/2015/06/chart">
            <c:ext xmlns:c16="http://schemas.microsoft.com/office/drawing/2014/chart" uri="{C3380CC4-5D6E-409C-BE32-E72D297353CC}">
              <c16:uniqueId val="{00000000-E3A8-442E-B6A5-07FBCD4704BA}"/>
            </c:ext>
          </c:extLst>
        </c:ser>
        <c:dLbls>
          <c:showLegendKey val="0"/>
          <c:showVal val="0"/>
          <c:showCatName val="0"/>
          <c:showSerName val="0"/>
          <c:showPercent val="0"/>
          <c:showBubbleSize val="0"/>
        </c:dLbls>
        <c:gapWidth val="65"/>
        <c:shape val="box"/>
        <c:axId val="-1727928688"/>
        <c:axId val="-1727931952"/>
        <c:axId val="0"/>
      </c:bar3DChart>
      <c:catAx>
        <c:axId val="-17279286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27931952"/>
        <c:crosses val="autoZero"/>
        <c:auto val="1"/>
        <c:lblAlgn val="ctr"/>
        <c:lblOffset val="100"/>
        <c:noMultiLvlLbl val="0"/>
      </c:catAx>
      <c:valAx>
        <c:axId val="-1727931952"/>
        <c:scaling>
          <c:orientation val="minMax"/>
          <c:min val="4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727928688"/>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Sheet1!$L$30</c:f>
              <c:strCache>
                <c:ptCount val="1"/>
                <c:pt idx="0">
                  <c:v>cad</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Sheet1!$K$31:$K$36</c:f>
              <c:strCache>
                <c:ptCount val="6"/>
                <c:pt idx="0">
                  <c:v>2017</c:v>
                </c:pt>
                <c:pt idx="1">
                  <c:v>2018</c:v>
                </c:pt>
                <c:pt idx="2">
                  <c:v>2019</c:v>
                </c:pt>
                <c:pt idx="3">
                  <c:v>2020</c:v>
                </c:pt>
                <c:pt idx="4">
                  <c:v>2021p</c:v>
                </c:pt>
                <c:pt idx="5">
                  <c:v>2022p</c:v>
                </c:pt>
              </c:strCache>
            </c:strRef>
          </c:cat>
          <c:val>
            <c:numRef>
              <c:f>Sheet1!$L$31:$L$36</c:f>
              <c:numCache>
                <c:formatCode>General</c:formatCode>
                <c:ptCount val="6"/>
                <c:pt idx="0">
                  <c:v>-5.4</c:v>
                </c:pt>
                <c:pt idx="1">
                  <c:v>-5.4</c:v>
                </c:pt>
                <c:pt idx="2">
                  <c:v>-4.7</c:v>
                </c:pt>
                <c:pt idx="3">
                  <c:v>-4.9000000000000004</c:v>
                </c:pt>
                <c:pt idx="4">
                  <c:v>-4.5</c:v>
                </c:pt>
                <c:pt idx="5">
                  <c:v>-4.3</c:v>
                </c:pt>
              </c:numCache>
            </c:numRef>
          </c:val>
          <c:extLst xmlns:c16r2="http://schemas.microsoft.com/office/drawing/2015/06/chart">
            <c:ext xmlns:c16="http://schemas.microsoft.com/office/drawing/2014/chart" uri="{C3380CC4-5D6E-409C-BE32-E72D297353CC}">
              <c16:uniqueId val="{00000000-37D4-4D73-80FF-8D23CB06040A}"/>
            </c:ext>
          </c:extLst>
        </c:ser>
        <c:dLbls>
          <c:dLblPos val="inEnd"/>
          <c:showLegendKey val="0"/>
          <c:showVal val="1"/>
          <c:showCatName val="0"/>
          <c:showSerName val="0"/>
          <c:showPercent val="0"/>
          <c:showBubbleSize val="0"/>
        </c:dLbls>
        <c:gapWidth val="41"/>
        <c:axId val="-1727931408"/>
        <c:axId val="-1727929232"/>
      </c:barChart>
      <c:catAx>
        <c:axId val="-1727931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7929232"/>
        <c:crosses val="autoZero"/>
        <c:auto val="1"/>
        <c:lblAlgn val="ctr"/>
        <c:lblOffset val="100"/>
        <c:noMultiLvlLbl val="0"/>
      </c:catAx>
      <c:valAx>
        <c:axId val="-1727929232"/>
        <c:scaling>
          <c:orientation val="minMax"/>
        </c:scaling>
        <c:delete val="1"/>
        <c:axPos val="l"/>
        <c:numFmt formatCode="General" sourceLinked="1"/>
        <c:majorTickMark val="none"/>
        <c:minorTickMark val="none"/>
        <c:tickLblPos val="nextTo"/>
        <c:crossAx val="-172793140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Sheet1!$L$75</c:f>
              <c:strCache>
                <c:ptCount val="1"/>
                <c:pt idx="0">
                  <c:v>Reserves</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Sheet1!$K$76:$K$81</c:f>
              <c:strCache>
                <c:ptCount val="6"/>
                <c:pt idx="0">
                  <c:v>2017</c:v>
                </c:pt>
                <c:pt idx="1">
                  <c:v>2018</c:v>
                </c:pt>
                <c:pt idx="2">
                  <c:v>2019</c:v>
                </c:pt>
                <c:pt idx="3">
                  <c:v>2020</c:v>
                </c:pt>
                <c:pt idx="4">
                  <c:v>2021p</c:v>
                </c:pt>
                <c:pt idx="5">
                  <c:v>2022p</c:v>
                </c:pt>
              </c:strCache>
            </c:strRef>
          </c:cat>
          <c:val>
            <c:numRef>
              <c:f>Sheet1!$L$76:$L$81</c:f>
              <c:numCache>
                <c:formatCode>General</c:formatCode>
                <c:ptCount val="6"/>
                <c:pt idx="0">
                  <c:v>3</c:v>
                </c:pt>
                <c:pt idx="1">
                  <c:v>3.1</c:v>
                </c:pt>
                <c:pt idx="2">
                  <c:v>3.9</c:v>
                </c:pt>
                <c:pt idx="3">
                  <c:v>3.2</c:v>
                </c:pt>
                <c:pt idx="4">
                  <c:v>3.2</c:v>
                </c:pt>
                <c:pt idx="5">
                  <c:v>3.2</c:v>
                </c:pt>
              </c:numCache>
            </c:numRef>
          </c:val>
          <c:extLst xmlns:c16r2="http://schemas.microsoft.com/office/drawing/2015/06/chart">
            <c:ext xmlns:c16="http://schemas.microsoft.com/office/drawing/2014/chart" uri="{C3380CC4-5D6E-409C-BE32-E72D297353CC}">
              <c16:uniqueId val="{00000000-75AD-468B-97DE-082B5ABDFA60}"/>
            </c:ext>
          </c:extLst>
        </c:ser>
        <c:dLbls>
          <c:showLegendKey val="0"/>
          <c:showVal val="0"/>
          <c:showCatName val="0"/>
          <c:showSerName val="0"/>
          <c:showPercent val="0"/>
          <c:showBubbleSize val="0"/>
        </c:dLbls>
        <c:gapWidth val="150"/>
        <c:shape val="box"/>
        <c:axId val="-1727928144"/>
        <c:axId val="-1727927056"/>
        <c:axId val="0"/>
      </c:bar3DChart>
      <c:catAx>
        <c:axId val="-1727928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27927056"/>
        <c:crosses val="autoZero"/>
        <c:auto val="1"/>
        <c:lblAlgn val="ctr"/>
        <c:lblOffset val="100"/>
        <c:noMultiLvlLbl val="0"/>
      </c:catAx>
      <c:valAx>
        <c:axId val="-172792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2792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59C9-D3E7-43A4-8E80-4E0706B5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13</Pages>
  <Words>2835</Words>
  <Characters>16164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Yamani</dc:creator>
  <cp:keywords/>
  <dc:description/>
  <cp:lastModifiedBy>AbdelRahman Yamani</cp:lastModifiedBy>
  <cp:revision>109</cp:revision>
  <dcterms:created xsi:type="dcterms:W3CDTF">2020-03-03T07:04:00Z</dcterms:created>
  <dcterms:modified xsi:type="dcterms:W3CDTF">2021-09-17T13:11:00Z</dcterms:modified>
</cp:coreProperties>
</file>